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30B0CBDE" w:rsidR="002B2554" w:rsidRDefault="004F2B40" w:rsidP="005C37E7">
      <w:pPr>
        <w:widowControl w:val="0"/>
        <w:pBdr>
          <w:top w:val="nil"/>
          <w:left w:val="nil"/>
          <w:bottom w:val="nil"/>
          <w:right w:val="nil"/>
          <w:between w:val="nil"/>
        </w:pBdr>
        <w:spacing w:after="0" w:line="276" w:lineRule="auto"/>
        <w:rPr>
          <w:rFonts w:ascii="Verdana" w:eastAsia="Verdana" w:hAnsi="Verdana" w:cs="Verdana"/>
          <w:sz w:val="20"/>
          <w:szCs w:val="20"/>
        </w:rPr>
      </w:pPr>
      <w:r>
        <w:pict w14:anchorId="4ECA38BC">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r>
        <w:rPr>
          <w:rFonts w:ascii="Verdana" w:eastAsia="Verdana" w:hAnsi="Verdana" w:cs="Verdana"/>
          <w:b/>
          <w:sz w:val="20"/>
          <w:szCs w:val="20"/>
        </w:rPr>
        <w:t>EL DIRECTOR GENERAL DE PARQUES NACIONALES NATURALES DE COLOMBIA</w:t>
      </w:r>
    </w:p>
    <w:p w14:paraId="00000004" w14:textId="77777777" w:rsidR="002B2554" w:rsidRDefault="002B2554">
      <w:pPr>
        <w:widowControl w:val="0"/>
        <w:spacing w:after="0" w:line="240" w:lineRule="auto"/>
        <w:jc w:val="center"/>
        <w:rPr>
          <w:rFonts w:ascii="Verdana" w:eastAsia="Verdana" w:hAnsi="Verdana" w:cs="Verdana"/>
          <w:sz w:val="20"/>
          <w:szCs w:val="20"/>
        </w:rPr>
      </w:pPr>
    </w:p>
    <w:p w14:paraId="00000005" w14:textId="253DF87D" w:rsidR="002B2554" w:rsidRDefault="004F2B40">
      <w:pPr>
        <w:widowControl w:val="0"/>
        <w:spacing w:after="0" w:line="240" w:lineRule="auto"/>
        <w:jc w:val="center"/>
        <w:rPr>
          <w:rFonts w:ascii="Verdana" w:eastAsia="Verdana" w:hAnsi="Verdana" w:cs="Verdana"/>
          <w:sz w:val="20"/>
          <w:szCs w:val="20"/>
        </w:rPr>
      </w:pPr>
      <w:r>
        <w:rPr>
          <w:rFonts w:ascii="Verdana" w:eastAsia="Verdana" w:hAnsi="Verdana" w:cs="Verdana"/>
          <w:sz w:val="20"/>
          <w:szCs w:val="20"/>
        </w:rPr>
        <w:t>En ejercicio de las facultades que le confieren el artículo 4 y los numerales 1 y 2 del artículo 9 del Decreto Ley 3572 de 2011</w:t>
      </w:r>
      <w:r w:rsidR="0046345D">
        <w:rPr>
          <w:rFonts w:ascii="Verdana" w:eastAsia="Verdana" w:hAnsi="Verdana" w:cs="Verdana"/>
          <w:sz w:val="20"/>
          <w:szCs w:val="20"/>
        </w:rPr>
        <w:t>, y</w:t>
      </w:r>
    </w:p>
    <w:p w14:paraId="00000006" w14:textId="77777777" w:rsidR="002B2554" w:rsidRDefault="002B2554">
      <w:pPr>
        <w:widowControl w:val="0"/>
        <w:spacing w:after="0" w:line="240" w:lineRule="auto"/>
        <w:jc w:val="center"/>
        <w:rPr>
          <w:rFonts w:ascii="Verdana" w:eastAsia="Verdana" w:hAnsi="Verdana" w:cs="Verdana"/>
          <w:b/>
          <w:sz w:val="20"/>
          <w:szCs w:val="20"/>
        </w:rPr>
      </w:pPr>
    </w:p>
    <w:p w14:paraId="27E68A63" w14:textId="77777777" w:rsidR="0046345D" w:rsidRDefault="0046345D">
      <w:pPr>
        <w:widowControl w:val="0"/>
        <w:spacing w:after="0" w:line="240" w:lineRule="auto"/>
        <w:jc w:val="center"/>
        <w:rPr>
          <w:rFonts w:ascii="Verdana" w:eastAsia="Verdana" w:hAnsi="Verdana" w:cs="Verdana"/>
          <w:b/>
          <w:sz w:val="20"/>
          <w:szCs w:val="20"/>
        </w:rPr>
      </w:pPr>
    </w:p>
    <w:p w14:paraId="00000007" w14:textId="3F1F1E9F" w:rsidR="002B2554" w:rsidRDefault="004F2B40">
      <w:pPr>
        <w:widowControl w:val="0"/>
        <w:spacing w:after="0" w:line="240" w:lineRule="auto"/>
        <w:jc w:val="center"/>
        <w:rPr>
          <w:rFonts w:ascii="Verdana" w:eastAsia="Verdana" w:hAnsi="Verdana" w:cs="Verdana"/>
          <w:b/>
          <w:sz w:val="20"/>
          <w:szCs w:val="20"/>
        </w:rPr>
      </w:pPr>
      <w:r>
        <w:rPr>
          <w:rFonts w:ascii="Verdana" w:eastAsia="Verdana" w:hAnsi="Verdana" w:cs="Verdana"/>
          <w:b/>
          <w:sz w:val="20"/>
          <w:szCs w:val="20"/>
        </w:rPr>
        <w:t xml:space="preserve">CONSIDERANDO QUE </w:t>
      </w:r>
    </w:p>
    <w:p w14:paraId="00000008" w14:textId="77777777" w:rsidR="002B2554" w:rsidRDefault="002B2554">
      <w:pPr>
        <w:widowControl w:val="0"/>
        <w:spacing w:after="0" w:line="240" w:lineRule="auto"/>
        <w:jc w:val="both"/>
        <w:rPr>
          <w:rFonts w:ascii="Verdana" w:eastAsia="Verdana" w:hAnsi="Verdana" w:cs="Verdana"/>
          <w:sz w:val="20"/>
          <w:szCs w:val="20"/>
        </w:rPr>
      </w:pPr>
    </w:p>
    <w:p w14:paraId="0AE8423D" w14:textId="77777777" w:rsidR="0046345D" w:rsidRDefault="0046345D">
      <w:pPr>
        <w:widowControl w:val="0"/>
        <w:spacing w:after="0" w:line="240" w:lineRule="auto"/>
        <w:jc w:val="both"/>
        <w:rPr>
          <w:rFonts w:ascii="Verdana" w:eastAsia="Verdana" w:hAnsi="Verdana" w:cs="Verdana"/>
          <w:sz w:val="20"/>
          <w:szCs w:val="20"/>
        </w:rPr>
      </w:pPr>
    </w:p>
    <w:p w14:paraId="00000009"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De conformidad con los artículos 8, 79 y 80 de la Constitución Política, son deberes constitucionales del Estado proteger la riqueza natural y cultural de la nación colombiana, la diversidad e integridad del ambiente, conservar las áreas de especial importancia ecológica, planificar el manejo y aprovechamiento de los recursos naturales para garantizar su conservación y restauración, así como prevenir y controlar los factores de deterioro ambiental.</w:t>
      </w:r>
    </w:p>
    <w:p w14:paraId="0000000A"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 </w:t>
      </w:r>
    </w:p>
    <w:p w14:paraId="0000000B"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Por mandato del artículo 63 Constitucional, las áreas protegidas del Sistema de Parques Nacionales Naturales son inalienables, imprescriptibles e inembargables, lo que implica un conjunto de obligaciones y responsabilidades para el Estado y los particulares dirigidas a garantizar la destinación específica de estas áreas a la conservación y demás usos previstos en la ley. </w:t>
      </w:r>
    </w:p>
    <w:p w14:paraId="0000000C" w14:textId="77777777" w:rsidR="002B2554" w:rsidRDefault="002B2554">
      <w:pPr>
        <w:widowControl w:val="0"/>
        <w:spacing w:after="0" w:line="240" w:lineRule="auto"/>
        <w:jc w:val="both"/>
        <w:rPr>
          <w:rFonts w:ascii="Verdana" w:eastAsia="Verdana" w:hAnsi="Verdana" w:cs="Verdana"/>
          <w:sz w:val="20"/>
          <w:szCs w:val="20"/>
        </w:rPr>
      </w:pPr>
    </w:p>
    <w:p w14:paraId="0000000D"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Por su parte, el artículo 209 de la Constitución Política ordena que la función administrativa está al servicio de los intereses generales y se desarrolla con fundamento en los principios de igualdad, moralidad, eficacia, economía, celeridad y coordinación entre autoridades administrativas para el adecuado cumplimiento de los fines del Estado.</w:t>
      </w:r>
    </w:p>
    <w:p w14:paraId="0000000E" w14:textId="77777777" w:rsidR="002B2554" w:rsidRDefault="002B2554">
      <w:pPr>
        <w:widowControl w:val="0"/>
        <w:spacing w:after="0" w:line="240" w:lineRule="auto"/>
        <w:jc w:val="both"/>
        <w:rPr>
          <w:rFonts w:ascii="Verdana" w:eastAsia="Verdana" w:hAnsi="Verdana" w:cs="Verdana"/>
          <w:sz w:val="20"/>
          <w:szCs w:val="20"/>
        </w:rPr>
      </w:pPr>
    </w:p>
    <w:p w14:paraId="0000000F"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De otro lado, el numeral 2 del artículo 1 de la Ley 99 de 1993 consagró entre los principios y fundamentos generales orientadores de la política ambiental del país, la protección prioritaria y el aprovechamiento en forma sostenible de la biodiversidad, por ser patrimonio nacional y de interés de la humanidad. Además, el numeral 12 de la citada norma establece que el manejo ambiental de Colombia debe ser descentralizado, democrático y participativo.</w:t>
      </w:r>
    </w:p>
    <w:p w14:paraId="00000010" w14:textId="77777777" w:rsidR="002B2554" w:rsidRDefault="002B2554">
      <w:pPr>
        <w:widowControl w:val="0"/>
        <w:spacing w:after="0" w:line="240" w:lineRule="auto"/>
        <w:jc w:val="both"/>
        <w:rPr>
          <w:rFonts w:ascii="Verdana" w:eastAsia="Verdana" w:hAnsi="Verdana" w:cs="Verdana"/>
          <w:sz w:val="20"/>
          <w:szCs w:val="20"/>
        </w:rPr>
      </w:pPr>
    </w:p>
    <w:p w14:paraId="00000011"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Frente a los Parques Nacionales Naturales, el artículo 13 de la Ley 2 de 1959 estableció la potestad de declarar como tales aquellas zonas delimitadas y reservadas de manera especial para destinarse a conservar la flora y fauna nacionales, prohibiéndose en estas áreas, la adjudicación de baldíos, la venta de tierras, la caza, la pesca y toda actividad industrial, ganadera o agrícola, distinta a la del turismo o aquellas actividades que el Gobierno Nacional considere </w:t>
      </w:r>
      <w:r>
        <w:rPr>
          <w:rFonts w:ascii="Verdana" w:eastAsia="Verdana" w:hAnsi="Verdana" w:cs="Verdana"/>
          <w:i/>
          <w:sz w:val="20"/>
          <w:szCs w:val="20"/>
        </w:rPr>
        <w:t>convenientes para la conservación</w:t>
      </w:r>
      <w:r>
        <w:rPr>
          <w:rFonts w:ascii="Verdana" w:eastAsia="Verdana" w:hAnsi="Verdana" w:cs="Verdana"/>
          <w:sz w:val="20"/>
          <w:szCs w:val="20"/>
        </w:rPr>
        <w:t xml:space="preserve"> o embellecimiento de la zona.</w:t>
      </w:r>
    </w:p>
    <w:p w14:paraId="00000012" w14:textId="77777777" w:rsidR="002B2554" w:rsidRDefault="002B2554">
      <w:pPr>
        <w:widowControl w:val="0"/>
        <w:spacing w:after="0" w:line="240" w:lineRule="auto"/>
        <w:jc w:val="both"/>
        <w:rPr>
          <w:rFonts w:ascii="Verdana" w:eastAsia="Verdana" w:hAnsi="Verdana" w:cs="Verdana"/>
          <w:sz w:val="20"/>
          <w:szCs w:val="20"/>
        </w:rPr>
      </w:pPr>
    </w:p>
    <w:p w14:paraId="00000013"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Al respecto, el artículo 327 del Decreto Ley 2811 de 1974, Código Nacional de Recursos Naturales Renovables y de Protección al Medio Ambiente, define el Sistema de Parques Nacionales Naturales como el conjunto de áreas con valores excepcionales para el patrimonio nacional que, debido a sus características naturales, culturales o históricas, se reserva y declara en beneficio de los habitantes de la nación.</w:t>
      </w:r>
    </w:p>
    <w:p w14:paraId="00000014" w14:textId="77777777" w:rsidR="002B2554" w:rsidRDefault="002B2554">
      <w:pPr>
        <w:widowControl w:val="0"/>
        <w:spacing w:after="0" w:line="240" w:lineRule="auto"/>
        <w:jc w:val="both"/>
        <w:rPr>
          <w:rFonts w:ascii="Verdana" w:eastAsia="Verdana" w:hAnsi="Verdana" w:cs="Verdana"/>
          <w:sz w:val="20"/>
          <w:szCs w:val="20"/>
        </w:rPr>
      </w:pPr>
    </w:p>
    <w:p w14:paraId="00000015"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Las finalidades del Sistema de Parques Nacionales Naturales son conservar la fauna, la flora, los paisajes o las reliquias históricas, culturales o arqueológicas, con valores sobresalientes, para darles un régimen especial de manejo de forma que permanezcan sin </w:t>
      </w:r>
      <w:r>
        <w:rPr>
          <w:rFonts w:ascii="Verdana" w:eastAsia="Verdana" w:hAnsi="Verdana" w:cs="Verdana"/>
          <w:sz w:val="20"/>
          <w:szCs w:val="20"/>
        </w:rPr>
        <w:lastRenderedPageBreak/>
        <w:t xml:space="preserve">deterioro; perpetuar en estado natural muestras de comunidades bióticas, regiones fisiográficas, unidades biogeográficas, recursos genéticos y especies silvestres amenazadas de extinción, y, además, proteger ejemplares de fenómenos naturales, culturales, históricos y otros de interés internacional, para contribuir a la preservación del patrimonio común de la humanidad, de conformidad con el artículo 328 del Decreto Ley 2811 de 1974. </w:t>
      </w:r>
    </w:p>
    <w:p w14:paraId="00000016" w14:textId="77777777" w:rsidR="002B2554" w:rsidRDefault="002B2554">
      <w:pPr>
        <w:widowControl w:val="0"/>
        <w:spacing w:after="0" w:line="240" w:lineRule="auto"/>
        <w:jc w:val="both"/>
        <w:rPr>
          <w:rFonts w:ascii="Verdana" w:eastAsia="Verdana" w:hAnsi="Verdana" w:cs="Verdana"/>
          <w:sz w:val="20"/>
          <w:szCs w:val="20"/>
        </w:rPr>
      </w:pPr>
    </w:p>
    <w:p w14:paraId="00000017"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virtud de lo anterior, las áreas del Sistema de Parques Nacionales Naturales son consideradas áreas de especial importancia ecológica, </w:t>
      </w:r>
      <w:proofErr w:type="gramStart"/>
      <w:r>
        <w:rPr>
          <w:rFonts w:ascii="Verdana" w:eastAsia="Verdana" w:hAnsi="Verdana" w:cs="Verdana"/>
          <w:sz w:val="20"/>
          <w:szCs w:val="20"/>
        </w:rPr>
        <w:t>y</w:t>
      </w:r>
      <w:proofErr w:type="gramEnd"/>
      <w:r>
        <w:rPr>
          <w:rFonts w:ascii="Verdana" w:eastAsia="Verdana" w:hAnsi="Verdana" w:cs="Verdana"/>
          <w:sz w:val="20"/>
          <w:szCs w:val="20"/>
        </w:rPr>
        <w:t xml:space="preserve"> por ende, están sometidas a un régimen de protección más intenso que el resto del ambiente, conforme el cual, únicamente son admisibles los usos compatibles con la conservación y se encuentra proscrita su explotación.</w:t>
      </w:r>
    </w:p>
    <w:p w14:paraId="00000018" w14:textId="77777777" w:rsidR="002B2554" w:rsidRDefault="002B2554">
      <w:pPr>
        <w:widowControl w:val="0"/>
        <w:spacing w:after="0" w:line="240" w:lineRule="auto"/>
        <w:jc w:val="both"/>
        <w:rPr>
          <w:rFonts w:ascii="Verdana" w:eastAsia="Verdana" w:hAnsi="Verdana" w:cs="Verdana"/>
          <w:sz w:val="20"/>
          <w:szCs w:val="20"/>
        </w:rPr>
      </w:pPr>
    </w:p>
    <w:p w14:paraId="00000019"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Entre las categorías o tipos de áreas que conforman el Sistema de Parques Nacionales se encuentra el santuario de flora, entendido como el área dedicada a preservar especies o comunidades vegetales para conservar recursos genéticos de la flora nacional, y el santuario de fauna, entendida como el área dedicada a preservar especies o comunidades de animales silvestres para conservar recursos genéticos de la fauna nacional, conforme lo establecido por  los literales d) y e) del artículo 329 del Decreto Ley 281</w:t>
      </w:r>
      <w:r>
        <w:rPr>
          <w:rFonts w:ascii="Verdana" w:eastAsia="Verdana" w:hAnsi="Verdana" w:cs="Verdana"/>
          <w:sz w:val="20"/>
          <w:szCs w:val="20"/>
        </w:rPr>
        <w:t>1 de 1974.</w:t>
      </w:r>
    </w:p>
    <w:p w14:paraId="0000001A" w14:textId="77777777" w:rsidR="002B2554" w:rsidRDefault="002B2554">
      <w:pPr>
        <w:widowControl w:val="0"/>
        <w:spacing w:after="0" w:line="240" w:lineRule="auto"/>
        <w:jc w:val="both"/>
        <w:rPr>
          <w:rFonts w:ascii="Verdana" w:eastAsia="Verdana" w:hAnsi="Verdana" w:cs="Verdana"/>
          <w:sz w:val="20"/>
          <w:szCs w:val="20"/>
        </w:rPr>
      </w:pPr>
    </w:p>
    <w:p w14:paraId="0000001B"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En los Santuarios de fauna y flora las actividades permitidas son las de conservación, recuperación y control, investigación y educación, según el artículo 331 del Decreto Ley 2811 de 1974.</w:t>
      </w:r>
    </w:p>
    <w:p w14:paraId="0000001C" w14:textId="77777777" w:rsidR="002B2554" w:rsidRDefault="002B2554">
      <w:pPr>
        <w:widowControl w:val="0"/>
        <w:spacing w:after="0" w:line="240" w:lineRule="auto"/>
        <w:jc w:val="both"/>
        <w:rPr>
          <w:rFonts w:ascii="Verdana" w:eastAsia="Verdana" w:hAnsi="Verdana" w:cs="Verdana"/>
          <w:sz w:val="20"/>
          <w:szCs w:val="20"/>
        </w:rPr>
      </w:pPr>
    </w:p>
    <w:p w14:paraId="0000001D"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Posteriormente, el Decreto Reglamentario 622 de 1977, reglamentó el Decreto Ley 2811 de 1974 y la Ley 2 de 1959 en lo referente al Sistema de Parques Nacionales Naturales, y se encuentra actualmente compilado desde el artículo 2.2.2.1.7.1 al artículo 2.2.2.1.16.3 del Decreto 1076 de 2015, Decreto Único Reglamentario del Sector Ambiente y Desarrollo Sostenible. </w:t>
      </w:r>
    </w:p>
    <w:p w14:paraId="0000001E" w14:textId="77777777" w:rsidR="002B2554" w:rsidRDefault="002B2554">
      <w:pPr>
        <w:widowControl w:val="0"/>
        <w:spacing w:after="0" w:line="240" w:lineRule="auto"/>
        <w:jc w:val="both"/>
        <w:rPr>
          <w:rFonts w:ascii="Verdana" w:eastAsia="Verdana" w:hAnsi="Verdana" w:cs="Verdana"/>
          <w:sz w:val="20"/>
          <w:szCs w:val="20"/>
        </w:rPr>
      </w:pPr>
    </w:p>
    <w:p w14:paraId="0000001F" w14:textId="77777777" w:rsidR="002B2554" w:rsidRDefault="004F2B40">
      <w:pPr>
        <w:widowControl w:val="0"/>
        <w:spacing w:after="0" w:line="240" w:lineRule="auto"/>
        <w:jc w:val="both"/>
        <w:rPr>
          <w:rFonts w:ascii="Verdana" w:eastAsia="Verdana" w:hAnsi="Verdana" w:cs="Verdana"/>
          <w:i/>
          <w:sz w:val="20"/>
          <w:szCs w:val="20"/>
        </w:rPr>
      </w:pPr>
      <w:r>
        <w:rPr>
          <w:rFonts w:ascii="Verdana" w:eastAsia="Verdana" w:hAnsi="Verdana" w:cs="Verdana"/>
          <w:sz w:val="20"/>
          <w:szCs w:val="20"/>
        </w:rPr>
        <w:t>Frente al ordenamiento de las áreas protegidas, de acuerdo con el artículo 2.2.2.1.8.1 del mencionado Decreto 1076 de 2015, se definió la z</w:t>
      </w:r>
      <w:r>
        <w:rPr>
          <w:rFonts w:ascii="Verdana" w:eastAsia="Verdana" w:hAnsi="Verdana" w:cs="Verdana"/>
          <w:i/>
          <w:sz w:val="20"/>
          <w:szCs w:val="20"/>
        </w:rPr>
        <w:t xml:space="preserve">onificación </w:t>
      </w:r>
      <w:r>
        <w:rPr>
          <w:rFonts w:ascii="Verdana" w:eastAsia="Verdana" w:hAnsi="Verdana" w:cs="Verdana"/>
          <w:sz w:val="20"/>
          <w:szCs w:val="20"/>
        </w:rPr>
        <w:t>como</w:t>
      </w:r>
      <w:r>
        <w:rPr>
          <w:rFonts w:ascii="Verdana" w:eastAsia="Verdana" w:hAnsi="Verdana" w:cs="Verdana"/>
          <w:i/>
          <w:sz w:val="20"/>
          <w:szCs w:val="20"/>
        </w:rPr>
        <w:t xml:space="preserve"> </w:t>
      </w:r>
      <w:r>
        <w:rPr>
          <w:rFonts w:ascii="Verdana" w:eastAsia="Verdana" w:hAnsi="Verdana" w:cs="Verdana"/>
          <w:sz w:val="20"/>
          <w:szCs w:val="20"/>
        </w:rPr>
        <w:t xml:space="preserve">la subdivisión con fines de manejo de las diferentes áreas protegidas, que se planifica y determina de acuerdo con los fines y características naturales de la misma para su adecuada administración y para el cumplimiento de los objetivos señalados. Por mandato expreso, </w:t>
      </w:r>
      <w:r>
        <w:rPr>
          <w:rFonts w:ascii="Verdana" w:eastAsia="Verdana" w:hAnsi="Verdana" w:cs="Verdana"/>
          <w:i/>
          <w:sz w:val="20"/>
          <w:szCs w:val="20"/>
        </w:rPr>
        <w:t xml:space="preserve">“la zonificación no implica que las partes del área reciban diferentes grados de protección, sino que a cada una de ellas debe darse manejo especial a fin de garantizar su perpetuación” </w:t>
      </w:r>
    </w:p>
    <w:p w14:paraId="00000021" w14:textId="77777777" w:rsidR="002B2554" w:rsidRDefault="002B2554">
      <w:pPr>
        <w:widowControl w:val="0"/>
        <w:spacing w:after="0" w:line="240" w:lineRule="auto"/>
        <w:jc w:val="both"/>
        <w:rPr>
          <w:rFonts w:ascii="Verdana" w:eastAsia="Verdana" w:hAnsi="Verdana" w:cs="Verdana"/>
          <w:sz w:val="20"/>
          <w:szCs w:val="20"/>
        </w:rPr>
      </w:pPr>
    </w:p>
    <w:p w14:paraId="00000022" w14:textId="177E4316"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ese sentido, las actividades permitidas en las distintas áreas del Sistema de Parques Nacionales Naturales se podrán realizar siempre y cuando no sean causa de alteraciones de significación del ambiente natural, según el artículo </w:t>
      </w:r>
      <w:r>
        <w:rPr>
          <w:rFonts w:ascii="Verdana" w:eastAsia="Verdana" w:hAnsi="Verdana" w:cs="Verdana"/>
          <w:sz w:val="20"/>
          <w:szCs w:val="20"/>
        </w:rPr>
        <w:t xml:space="preserve">2.2.2.1.13.1. del Decreto 1076 de 2015. </w:t>
      </w:r>
    </w:p>
    <w:p w14:paraId="00000023" w14:textId="77777777" w:rsidR="002B2554" w:rsidRDefault="002B2554">
      <w:pPr>
        <w:widowControl w:val="0"/>
        <w:spacing w:after="0" w:line="240" w:lineRule="auto"/>
        <w:jc w:val="both"/>
        <w:rPr>
          <w:rFonts w:ascii="Verdana" w:eastAsia="Verdana" w:hAnsi="Verdana" w:cs="Verdana"/>
          <w:sz w:val="20"/>
          <w:szCs w:val="20"/>
        </w:rPr>
      </w:pPr>
    </w:p>
    <w:p w14:paraId="00000024" w14:textId="77777777" w:rsidR="002B2554" w:rsidRDefault="004F2B40">
      <w:pPr>
        <w:widowControl w:val="0"/>
        <w:spacing w:after="0" w:line="240" w:lineRule="auto"/>
        <w:jc w:val="both"/>
        <w:rPr>
          <w:rFonts w:ascii="Verdana" w:eastAsia="Verdana" w:hAnsi="Verdana" w:cs="Verdana"/>
          <w:i/>
          <w:sz w:val="20"/>
          <w:szCs w:val="20"/>
        </w:rPr>
      </w:pPr>
      <w:r>
        <w:rPr>
          <w:rFonts w:ascii="Verdana" w:eastAsia="Verdana" w:hAnsi="Verdana" w:cs="Verdana"/>
          <w:sz w:val="20"/>
          <w:szCs w:val="20"/>
        </w:rPr>
        <w:t xml:space="preserve">Al respecto, es importante  tener cuenta que uno de los principios en el desarrollo y funcionamiento del Sistema Nacional de Áreas Protegidas SINAP, según el artículo </w:t>
      </w:r>
      <w:r>
        <w:rPr>
          <w:rFonts w:ascii="Arial" w:eastAsia="Arial" w:hAnsi="Arial" w:cs="Arial"/>
          <w:b/>
          <w:sz w:val="20"/>
          <w:szCs w:val="20"/>
          <w:highlight w:val="white"/>
        </w:rPr>
        <w:t> </w:t>
      </w:r>
      <w:r>
        <w:rPr>
          <w:rFonts w:ascii="Verdana" w:eastAsia="Verdana" w:hAnsi="Verdana" w:cs="Verdana"/>
          <w:sz w:val="20"/>
          <w:szCs w:val="20"/>
          <w:highlight w:val="white"/>
        </w:rPr>
        <w:t>2.2.2.1.1.4</w:t>
      </w:r>
      <w:r>
        <w:rPr>
          <w:rFonts w:ascii="Arial" w:eastAsia="Arial" w:hAnsi="Arial" w:cs="Arial"/>
          <w:b/>
          <w:sz w:val="20"/>
          <w:szCs w:val="20"/>
          <w:highlight w:val="white"/>
        </w:rPr>
        <w:t xml:space="preserve">  </w:t>
      </w:r>
      <w:r>
        <w:rPr>
          <w:rFonts w:ascii="Verdana" w:eastAsia="Verdana" w:hAnsi="Verdana" w:cs="Verdana"/>
          <w:sz w:val="20"/>
          <w:szCs w:val="20"/>
        </w:rPr>
        <w:t xml:space="preserve">del Decreto 1076 de 20105,  es </w:t>
      </w:r>
      <w:r>
        <w:rPr>
          <w:rFonts w:ascii="Verdana" w:eastAsia="Verdana" w:hAnsi="Verdana" w:cs="Verdana"/>
          <w:i/>
          <w:sz w:val="20"/>
          <w:szCs w:val="20"/>
        </w:rPr>
        <w:t>“el reconocimiento tanto de los cambios intrínsecos que sufre la biodiversidad, como de los producidos por causas externas a esta, implica que el SINAP debe ser flexible y su gestión debe ser adaptativa frente al cambio, sin detrimento del cumplimiento de los objetivos específicos de conservación”.</w:t>
      </w:r>
    </w:p>
    <w:p w14:paraId="7C9D8ED0" w14:textId="77777777" w:rsidR="00AF3937" w:rsidRDefault="00AF3937">
      <w:pPr>
        <w:widowControl w:val="0"/>
        <w:spacing w:after="0" w:line="240" w:lineRule="auto"/>
        <w:jc w:val="both"/>
        <w:rPr>
          <w:rFonts w:ascii="Verdana" w:eastAsia="Verdana" w:hAnsi="Verdana" w:cs="Verdana"/>
          <w:i/>
          <w:sz w:val="20"/>
          <w:szCs w:val="20"/>
        </w:rPr>
      </w:pPr>
    </w:p>
    <w:p w14:paraId="00000025" w14:textId="77777777" w:rsidR="002B2554" w:rsidRDefault="002B2554">
      <w:pPr>
        <w:widowControl w:val="0"/>
        <w:spacing w:after="0" w:line="240" w:lineRule="auto"/>
        <w:jc w:val="both"/>
        <w:rPr>
          <w:rFonts w:ascii="Verdana" w:eastAsia="Verdana" w:hAnsi="Verdana" w:cs="Verdana"/>
          <w:sz w:val="20"/>
          <w:szCs w:val="20"/>
        </w:rPr>
      </w:pPr>
    </w:p>
    <w:p w14:paraId="00000026"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De otro lado, de acuerdo con el artículo 2.2.2.1.13.2.</w:t>
      </w:r>
      <w:r>
        <w:rPr>
          <w:rFonts w:ascii="Verdana" w:eastAsia="Verdana" w:hAnsi="Verdana" w:cs="Verdana"/>
          <w:b/>
          <w:sz w:val="20"/>
          <w:szCs w:val="20"/>
        </w:rPr>
        <w:t> </w:t>
      </w:r>
      <w:r>
        <w:rPr>
          <w:rFonts w:ascii="Verdana" w:eastAsia="Verdana" w:hAnsi="Verdana" w:cs="Verdana"/>
          <w:sz w:val="20"/>
          <w:szCs w:val="20"/>
        </w:rPr>
        <w:t xml:space="preserve">de la citada norma, las áreas que integran el Sistema de Parques Nacionales Naturales pueden ser usadas por personas nacionales y extranjeras, mediante autorización previa de Parques Nacionales Naturales de Colombia de acuerdo con los reglamentos que esta entidad expida para el área protegida. </w:t>
      </w:r>
    </w:p>
    <w:p w14:paraId="00000027" w14:textId="77777777" w:rsidR="002B2554" w:rsidRDefault="002B2554">
      <w:pPr>
        <w:widowControl w:val="0"/>
        <w:spacing w:after="0" w:line="240" w:lineRule="auto"/>
        <w:jc w:val="both"/>
        <w:rPr>
          <w:rFonts w:ascii="Verdana" w:eastAsia="Verdana" w:hAnsi="Verdana" w:cs="Verdana"/>
          <w:sz w:val="20"/>
          <w:szCs w:val="20"/>
        </w:rPr>
      </w:pPr>
    </w:p>
    <w:p w14:paraId="00000028" w14:textId="7C0B504F"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Al respecto, según el Decreto Ley 3572 de 2011, corresponde a la Unidad Administrativa Especial Parques Nacionales Naturales de Colombia, la función de administración y manejo de las áreas que conforman el Sistema de Parques Nacionales Naturales, así como reglamentar el uso y el funcionamiento de las áreas que lo integran, de acuerdo con lo dispuesto en el Decreto Ley 2811 de 1974</w:t>
      </w:r>
      <w:r w:rsidR="00AF3937">
        <w:rPr>
          <w:rFonts w:ascii="Verdana" w:eastAsia="Verdana" w:hAnsi="Verdana" w:cs="Verdana"/>
          <w:sz w:val="20"/>
          <w:szCs w:val="20"/>
        </w:rPr>
        <w:t>,</w:t>
      </w:r>
      <w:r>
        <w:rPr>
          <w:rFonts w:ascii="Verdana" w:eastAsia="Verdana" w:hAnsi="Verdana" w:cs="Verdana"/>
          <w:sz w:val="20"/>
          <w:szCs w:val="20"/>
        </w:rPr>
        <w:t xml:space="preserve"> la Ley 99 de 1993</w:t>
      </w:r>
      <w:r w:rsidR="00AF3937">
        <w:rPr>
          <w:rFonts w:ascii="Verdana" w:eastAsia="Verdana" w:hAnsi="Verdana" w:cs="Verdana"/>
          <w:sz w:val="20"/>
          <w:szCs w:val="20"/>
        </w:rPr>
        <w:t>,</w:t>
      </w:r>
      <w:r>
        <w:rPr>
          <w:rFonts w:ascii="Verdana" w:eastAsia="Verdana" w:hAnsi="Verdana" w:cs="Verdana"/>
          <w:sz w:val="20"/>
          <w:szCs w:val="20"/>
        </w:rPr>
        <w:t xml:space="preserve"> el Decreto 1076 de 2015</w:t>
      </w:r>
      <w:r>
        <w:rPr>
          <w:rFonts w:ascii="Verdana" w:eastAsia="Verdana" w:hAnsi="Verdana" w:cs="Verdana"/>
          <w:sz w:val="20"/>
          <w:szCs w:val="20"/>
        </w:rPr>
        <w:t xml:space="preserve"> y demás disposiciones asociadas a dicho Sistema. </w:t>
      </w:r>
    </w:p>
    <w:p w14:paraId="00000029" w14:textId="77777777" w:rsidR="002B2554" w:rsidRDefault="002B2554">
      <w:pPr>
        <w:widowControl w:val="0"/>
        <w:spacing w:after="0" w:line="240" w:lineRule="auto"/>
        <w:jc w:val="both"/>
        <w:rPr>
          <w:rFonts w:ascii="Verdana" w:eastAsia="Verdana" w:hAnsi="Verdana" w:cs="Verdana"/>
          <w:sz w:val="20"/>
          <w:szCs w:val="20"/>
        </w:rPr>
      </w:pPr>
    </w:p>
    <w:p w14:paraId="0000002A"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El artículo 9 del Decreto Ley 3572 de 2011 facultó al Director General de Parques Nacionales Naturales de Colombia para adoptar los instrumentos de planificación, programas y proyectos relacionados con la administración y manejo del Sistema de Parques Nacionales Naturales. </w:t>
      </w:r>
    </w:p>
    <w:p w14:paraId="0000002B" w14:textId="77777777" w:rsidR="002B2554" w:rsidRDefault="002B2554">
      <w:pPr>
        <w:widowControl w:val="0"/>
        <w:spacing w:after="0" w:line="240" w:lineRule="auto"/>
        <w:jc w:val="both"/>
        <w:rPr>
          <w:rFonts w:ascii="Verdana" w:eastAsia="Verdana" w:hAnsi="Verdana" w:cs="Verdana"/>
          <w:sz w:val="20"/>
          <w:szCs w:val="20"/>
        </w:rPr>
      </w:pPr>
    </w:p>
    <w:p w14:paraId="0000002C"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Y, a su vez, el numeral 4 del artículo 13 del citado Decreto ley, le confiere a la Subdirección de Gestión y Manejo de Áreas Protegidas la función de dirigir la formulación, actualización, implementación y seguimiento a los Planes de Manejo de las áreas protegidas. </w:t>
      </w:r>
    </w:p>
    <w:p w14:paraId="0000002D" w14:textId="77777777" w:rsidR="002B2554" w:rsidRDefault="002B2554">
      <w:pPr>
        <w:widowControl w:val="0"/>
        <w:spacing w:after="0" w:line="240" w:lineRule="auto"/>
        <w:jc w:val="both"/>
        <w:rPr>
          <w:rFonts w:ascii="Verdana" w:eastAsia="Verdana" w:hAnsi="Verdana" w:cs="Verdana"/>
          <w:b/>
          <w:sz w:val="20"/>
          <w:szCs w:val="20"/>
        </w:rPr>
      </w:pPr>
    </w:p>
    <w:p w14:paraId="0000002E" w14:textId="77777777" w:rsidR="002B2554" w:rsidRDefault="004F2B40">
      <w:pPr>
        <w:widowControl w:val="0"/>
        <w:spacing w:after="0" w:line="240" w:lineRule="auto"/>
        <w:jc w:val="both"/>
        <w:rPr>
          <w:rFonts w:ascii="Verdana" w:eastAsia="Verdana" w:hAnsi="Verdana" w:cs="Verdana"/>
          <w:b/>
          <w:sz w:val="20"/>
          <w:szCs w:val="20"/>
        </w:rPr>
      </w:pPr>
      <w:r>
        <w:rPr>
          <w:rFonts w:ascii="Verdana" w:eastAsia="Verdana" w:hAnsi="Verdana" w:cs="Verdana"/>
          <w:b/>
          <w:sz w:val="20"/>
          <w:szCs w:val="20"/>
        </w:rPr>
        <w:t>Consideraciones de planeación, manejo y ordenamiento</w:t>
      </w:r>
    </w:p>
    <w:p w14:paraId="0000002F" w14:textId="77777777" w:rsidR="002B2554" w:rsidRDefault="002B2554">
      <w:pPr>
        <w:widowControl w:val="0"/>
        <w:spacing w:after="0" w:line="240" w:lineRule="auto"/>
        <w:jc w:val="both"/>
        <w:rPr>
          <w:rFonts w:ascii="Verdana" w:eastAsia="Verdana" w:hAnsi="Verdana" w:cs="Verdana"/>
          <w:b/>
          <w:sz w:val="20"/>
          <w:szCs w:val="20"/>
        </w:rPr>
      </w:pPr>
    </w:p>
    <w:p w14:paraId="00000030"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De acuerdo con el artículo 32 de la Ley 2294 de 2023, las disposiciones que reglamentan el uso y funcionamiento de las áreas que integran el Sistema de Parques Nacionales Naturales, son determinantes de ordenamiento territorial para los municipios y distritos en la elaboración y adopción de los planes de ordenamiento territorial y demás instrumentos de ordenamiento. </w:t>
      </w:r>
    </w:p>
    <w:p w14:paraId="00000031" w14:textId="77777777" w:rsidR="002B2554" w:rsidRDefault="002B2554">
      <w:pPr>
        <w:widowControl w:val="0"/>
        <w:spacing w:after="0" w:line="240" w:lineRule="auto"/>
        <w:jc w:val="both"/>
        <w:rPr>
          <w:rFonts w:ascii="Verdana" w:eastAsia="Verdana" w:hAnsi="Verdana" w:cs="Verdana"/>
          <w:sz w:val="20"/>
          <w:szCs w:val="20"/>
        </w:rPr>
      </w:pPr>
    </w:p>
    <w:p w14:paraId="00000032" w14:textId="79080384"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A través del citado Decreto 1076 de 2015, a partir del artículo 2.2.2.1.7.1. y siguientes, se consagraron los reglamentos generales aplicables al conjunto de áreas del Sistema de Parques Nacionales Naturales, estableciéndose entre otras cosas, que toda área de dicho Sistema debe contar con su respectivo plan maestro, posteriormente denominado </w:t>
      </w:r>
      <w:r w:rsidR="00B16C5B">
        <w:rPr>
          <w:rFonts w:ascii="Verdana" w:eastAsia="Verdana" w:hAnsi="Verdana" w:cs="Verdana"/>
          <w:sz w:val="20"/>
          <w:szCs w:val="20"/>
        </w:rPr>
        <w:t>P</w:t>
      </w:r>
      <w:r>
        <w:rPr>
          <w:rFonts w:ascii="Verdana" w:eastAsia="Verdana" w:hAnsi="Verdana" w:cs="Verdana"/>
          <w:sz w:val="20"/>
          <w:szCs w:val="20"/>
        </w:rPr>
        <w:t xml:space="preserve">lan de </w:t>
      </w:r>
      <w:r w:rsidR="00B16C5B">
        <w:rPr>
          <w:rFonts w:ascii="Verdana" w:eastAsia="Verdana" w:hAnsi="Verdana" w:cs="Verdana"/>
          <w:sz w:val="20"/>
          <w:szCs w:val="20"/>
        </w:rPr>
        <w:t>M</w:t>
      </w:r>
      <w:r>
        <w:rPr>
          <w:rFonts w:ascii="Verdana" w:eastAsia="Verdana" w:hAnsi="Verdana" w:cs="Verdana"/>
          <w:sz w:val="20"/>
          <w:szCs w:val="20"/>
        </w:rPr>
        <w:t>anejo por el Decreto</w:t>
      </w:r>
      <w:r w:rsidR="00B16C5B">
        <w:rPr>
          <w:rFonts w:ascii="Verdana" w:eastAsia="Verdana" w:hAnsi="Verdana" w:cs="Verdana"/>
          <w:sz w:val="20"/>
          <w:szCs w:val="20"/>
        </w:rPr>
        <w:t xml:space="preserve"> </w:t>
      </w:r>
      <w:r>
        <w:rPr>
          <w:rFonts w:ascii="Verdana" w:eastAsia="Verdana" w:hAnsi="Verdana" w:cs="Verdana"/>
          <w:sz w:val="20"/>
          <w:szCs w:val="20"/>
        </w:rPr>
        <w:t xml:space="preserve">1076 de 2015. </w:t>
      </w:r>
    </w:p>
    <w:p w14:paraId="00000033" w14:textId="77777777" w:rsidR="002B2554" w:rsidRDefault="002B2554">
      <w:pPr>
        <w:widowControl w:val="0"/>
        <w:spacing w:after="0" w:line="240" w:lineRule="auto"/>
        <w:jc w:val="both"/>
        <w:rPr>
          <w:rFonts w:ascii="Verdana" w:eastAsia="Verdana" w:hAnsi="Verdana" w:cs="Verdana"/>
          <w:sz w:val="20"/>
          <w:szCs w:val="20"/>
        </w:rPr>
      </w:pPr>
    </w:p>
    <w:p w14:paraId="00000034"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Al respecto, esta norma consagra que, para su adecuada administración, se debe realizar la subdivisión del área protegida en zonas con fines de manejo, planificación que debe obedecer a los fines y a las características de cada una de las áreas declaradas.</w:t>
      </w:r>
    </w:p>
    <w:p w14:paraId="00000035" w14:textId="77777777" w:rsidR="002B2554" w:rsidRDefault="002B2554">
      <w:pPr>
        <w:widowControl w:val="0"/>
        <w:spacing w:after="0" w:line="240" w:lineRule="auto"/>
        <w:jc w:val="both"/>
        <w:rPr>
          <w:rFonts w:ascii="Verdana" w:eastAsia="Verdana" w:hAnsi="Verdana" w:cs="Verdana"/>
          <w:sz w:val="20"/>
          <w:szCs w:val="20"/>
        </w:rPr>
      </w:pPr>
    </w:p>
    <w:p w14:paraId="00000036" w14:textId="39D5D1A6" w:rsidR="002B2554" w:rsidRDefault="004F2B40">
      <w:pPr>
        <w:widowControl w:val="0"/>
        <w:spacing w:after="0" w:line="240" w:lineRule="auto"/>
        <w:jc w:val="both"/>
        <w:rPr>
          <w:rFonts w:ascii="Verdana" w:eastAsia="Verdana" w:hAnsi="Verdana" w:cs="Verdana"/>
          <w:sz w:val="20"/>
          <w:szCs w:val="20"/>
          <w:highlight w:val="white"/>
        </w:rPr>
      </w:pPr>
      <w:r>
        <w:rPr>
          <w:rFonts w:ascii="Verdana" w:eastAsia="Verdana" w:hAnsi="Verdana" w:cs="Verdana"/>
          <w:sz w:val="20"/>
          <w:szCs w:val="20"/>
        </w:rPr>
        <w:t xml:space="preserve">En el mismo sentido, el artículo 2.2.2.1.6.5 del Decreto 1076 de 2015 </w:t>
      </w:r>
      <w:r>
        <w:rPr>
          <w:rFonts w:ascii="Verdana" w:eastAsia="Verdana" w:hAnsi="Verdana" w:cs="Verdana"/>
          <w:sz w:val="20"/>
          <w:szCs w:val="20"/>
        </w:rPr>
        <w:t xml:space="preserve">dispone que los planes de manejo de las áreas protegidas deben tener como mínimo un componente de diagnóstico, un componente de ordenamiento y un componente estratégico, que será el principal instrumento de planificación que orienta su gestión de conservación, </w:t>
      </w:r>
      <w:r>
        <w:rPr>
          <w:rFonts w:ascii="Verdana" w:eastAsia="Verdana" w:hAnsi="Verdana" w:cs="Verdana"/>
          <w:sz w:val="20"/>
          <w:szCs w:val="20"/>
          <w:highlight w:val="white"/>
        </w:rPr>
        <w:t xml:space="preserve">de manera que se evidencien resultados frente al logro de los objetivos de conservación que motivaron su designación y su contribución al desarrollo del </w:t>
      </w:r>
      <w:r>
        <w:rPr>
          <w:rFonts w:ascii="Verdana" w:eastAsia="Verdana" w:hAnsi="Verdana" w:cs="Verdana"/>
          <w:sz w:val="20"/>
          <w:szCs w:val="20"/>
        </w:rPr>
        <w:t>Sistema Nacional de Áreas Protegidas</w:t>
      </w:r>
      <w:r>
        <w:rPr>
          <w:rFonts w:ascii="Verdana" w:eastAsia="Verdana" w:hAnsi="Verdana" w:cs="Verdana"/>
          <w:sz w:val="20"/>
          <w:szCs w:val="20"/>
          <w:highlight w:val="white"/>
        </w:rPr>
        <w:t>.</w:t>
      </w:r>
    </w:p>
    <w:p w14:paraId="00000037" w14:textId="77777777" w:rsidR="002B2554" w:rsidRDefault="002B2554">
      <w:pPr>
        <w:widowControl w:val="0"/>
        <w:spacing w:after="0" w:line="240" w:lineRule="auto"/>
        <w:jc w:val="both"/>
        <w:rPr>
          <w:rFonts w:ascii="Verdana" w:eastAsia="Verdana" w:hAnsi="Verdana" w:cs="Verdana"/>
          <w:sz w:val="20"/>
          <w:szCs w:val="20"/>
          <w:highlight w:val="white"/>
        </w:rPr>
      </w:pPr>
    </w:p>
    <w:p w14:paraId="00000039" w14:textId="38BC7D84" w:rsidR="002B2554" w:rsidRDefault="004F2B40">
      <w:pPr>
        <w:widowControl w:val="0"/>
        <w:spacing w:after="0" w:line="240" w:lineRule="auto"/>
        <w:jc w:val="both"/>
        <w:rPr>
          <w:rFonts w:ascii="Verdana" w:eastAsia="Verdana" w:hAnsi="Verdana" w:cs="Verdana"/>
          <w:sz w:val="20"/>
          <w:szCs w:val="20"/>
          <w:highlight w:val="white"/>
        </w:rPr>
      </w:pPr>
      <w:r>
        <w:rPr>
          <w:rFonts w:ascii="Verdana" w:eastAsia="Verdana" w:hAnsi="Verdana" w:cs="Verdana"/>
          <w:sz w:val="20"/>
          <w:szCs w:val="20"/>
          <w:highlight w:val="white"/>
        </w:rPr>
        <w:t xml:space="preserve">De otro lado, a través de la Resolución 0531 del 29 de mayo de 2013, emitida por el Ministerio de Ambiente y Desarrollo Sostenible y Parques Nacionales Naturales de Colombia, se adoptaron las directrices para la planificación y el ordenamiento de las actividades ecoturísticas permitidas en las áreas del Sistema de Parques Nacionales </w:t>
      </w:r>
      <w:r>
        <w:rPr>
          <w:rFonts w:ascii="Verdana" w:eastAsia="Verdana" w:hAnsi="Verdana" w:cs="Verdana"/>
          <w:sz w:val="20"/>
          <w:szCs w:val="20"/>
          <w:highlight w:val="white"/>
        </w:rPr>
        <w:lastRenderedPageBreak/>
        <w:t xml:space="preserve">Naturales. </w:t>
      </w:r>
    </w:p>
    <w:p w14:paraId="4562DEAC" w14:textId="77777777" w:rsidR="00C55E02" w:rsidRPr="009E2894" w:rsidRDefault="00C55E02">
      <w:pPr>
        <w:widowControl w:val="0"/>
        <w:spacing w:after="0" w:line="240" w:lineRule="auto"/>
        <w:jc w:val="both"/>
        <w:rPr>
          <w:rFonts w:ascii="Verdana" w:eastAsia="Verdana" w:hAnsi="Verdana" w:cs="Verdana"/>
          <w:sz w:val="20"/>
          <w:szCs w:val="20"/>
          <w:highlight w:val="white"/>
        </w:rPr>
      </w:pPr>
    </w:p>
    <w:p w14:paraId="0000003B" w14:textId="77777777" w:rsidR="002B2554" w:rsidRDefault="004F2B40">
      <w:pPr>
        <w:widowControl w:val="0"/>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Consideraciones sobre la garantía de derechos y enfoques diferenciales con respecto a la población que habita las áreas protegidas </w:t>
      </w:r>
    </w:p>
    <w:p w14:paraId="0000003C" w14:textId="77777777" w:rsidR="002B2554" w:rsidRDefault="002B2554">
      <w:pPr>
        <w:widowControl w:val="0"/>
        <w:spacing w:after="0" w:line="240" w:lineRule="auto"/>
        <w:jc w:val="both"/>
        <w:rPr>
          <w:rFonts w:ascii="Verdana" w:eastAsia="Verdana" w:hAnsi="Verdana" w:cs="Verdana"/>
          <w:sz w:val="20"/>
          <w:szCs w:val="20"/>
        </w:rPr>
      </w:pPr>
    </w:p>
    <w:p w14:paraId="0000003D" w14:textId="36325106"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El principio de supremacía constitucional cumple una función integradora del orden jurídico. La Constitución Política de 1991 defiende la primacía de la dignidad humana, la justicia y la eficacia de los derechos fundamentales. Estos principios son el fin último de la aplicación del derecho y la interpretación jurídica subyacente, de ahí que, dicha interpretación debe ser armónica, coherente, sistemática y coordinada, buscando la</w:t>
      </w:r>
      <w:r>
        <w:rPr>
          <w:rFonts w:ascii="Verdana" w:eastAsia="Verdana" w:hAnsi="Verdana" w:cs="Verdana"/>
          <w:i/>
          <w:sz w:val="20"/>
          <w:szCs w:val="20"/>
        </w:rPr>
        <w:t xml:space="preserve"> </w:t>
      </w:r>
      <w:r>
        <w:rPr>
          <w:rFonts w:ascii="Verdana" w:eastAsia="Verdana" w:hAnsi="Verdana" w:cs="Verdana"/>
          <w:sz w:val="20"/>
          <w:szCs w:val="20"/>
        </w:rPr>
        <w:t>realización de los principios centrales del Estado Social y Democrático de Derecho</w:t>
      </w:r>
      <w:r w:rsidR="005362A6">
        <w:rPr>
          <w:rFonts w:ascii="Verdana" w:eastAsia="Verdana" w:hAnsi="Verdana" w:cs="Verdana"/>
          <w:sz w:val="20"/>
          <w:szCs w:val="20"/>
        </w:rPr>
        <w:t xml:space="preserve"> </w:t>
      </w:r>
      <w:r>
        <w:rPr>
          <w:rFonts w:ascii="Verdana" w:eastAsia="Verdana" w:hAnsi="Verdana" w:cs="Verdana"/>
          <w:sz w:val="20"/>
          <w:szCs w:val="20"/>
        </w:rPr>
        <w:t>(Corte Constitucional, Sentencia C-054 de 2016, Magistrado Ponente Luis Ernesto Vargas Silva)</w:t>
      </w:r>
      <w:r w:rsidR="005362A6">
        <w:rPr>
          <w:rFonts w:ascii="Verdana" w:eastAsia="Verdana" w:hAnsi="Verdana" w:cs="Verdana"/>
          <w:sz w:val="20"/>
          <w:szCs w:val="20"/>
        </w:rPr>
        <w:t>.</w:t>
      </w:r>
    </w:p>
    <w:p w14:paraId="0000003E" w14:textId="77777777" w:rsidR="002B2554" w:rsidRDefault="002B2554">
      <w:pPr>
        <w:widowControl w:val="0"/>
        <w:spacing w:after="0" w:line="240" w:lineRule="auto"/>
        <w:jc w:val="both"/>
        <w:rPr>
          <w:rFonts w:ascii="Verdana" w:eastAsia="Verdana" w:hAnsi="Verdana" w:cs="Verdana"/>
          <w:b/>
          <w:sz w:val="20"/>
          <w:szCs w:val="20"/>
        </w:rPr>
      </w:pPr>
    </w:p>
    <w:p w14:paraId="0000003F"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De acuerdo con el Artículo 1 de la Constitución Política de 1991, Colombia es un </w:t>
      </w:r>
      <w:r>
        <w:rPr>
          <w:rFonts w:ascii="Verdana" w:eastAsia="Verdana" w:hAnsi="Verdana" w:cs="Verdana"/>
          <w:i/>
          <w:sz w:val="20"/>
          <w:szCs w:val="20"/>
        </w:rPr>
        <w:t>Estado Social de Derecho</w:t>
      </w:r>
      <w:r>
        <w:rPr>
          <w:rFonts w:ascii="Verdana" w:eastAsia="Verdana" w:hAnsi="Verdana" w:cs="Verdana"/>
          <w:sz w:val="20"/>
          <w:szCs w:val="20"/>
        </w:rPr>
        <w:t xml:space="preserve">, fundado entre otros principios, en el respeto de la dignidad humana, la solidaridad y en la prevalencia del interés general. En concordancia, son fines esenciales del Estado servir a la comunidad, promover la prosperidad general y garantizar la efectividad de los principios, derechos y deberes consagrados en la Constitución; facilitar la participación de todos en las decisiones que los afectan y asegurar la vigencia de un orden justo, conforme el artículo 2 Superior. </w:t>
      </w:r>
    </w:p>
    <w:p w14:paraId="00000040" w14:textId="77777777" w:rsidR="002B2554" w:rsidRDefault="002B2554">
      <w:pPr>
        <w:widowControl w:val="0"/>
        <w:spacing w:after="0" w:line="240" w:lineRule="auto"/>
        <w:jc w:val="both"/>
        <w:rPr>
          <w:rFonts w:ascii="Verdana" w:eastAsia="Verdana" w:hAnsi="Verdana" w:cs="Verdana"/>
          <w:sz w:val="20"/>
          <w:szCs w:val="20"/>
        </w:rPr>
      </w:pPr>
    </w:p>
    <w:p w14:paraId="00000041"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ese marco, el artículo 5 de la Constitución Política establece que el Estado colombiano reconoce, sin discriminación alguna, la primacía de los derechos inalienables de la persona. Por su parte, el artículo 366 Superior establece, reforzando dicha máxima, que el bienestar general y el mejoramiento de la calidad de vida de la población son finalidades sociales del Estado. </w:t>
      </w:r>
    </w:p>
    <w:p w14:paraId="00000042" w14:textId="77777777" w:rsidR="002B2554" w:rsidRDefault="002B2554">
      <w:pPr>
        <w:widowControl w:val="0"/>
        <w:spacing w:after="0" w:line="240" w:lineRule="auto"/>
        <w:jc w:val="both"/>
        <w:rPr>
          <w:rFonts w:ascii="Verdana" w:eastAsia="Verdana" w:hAnsi="Verdana" w:cs="Verdana"/>
          <w:sz w:val="20"/>
          <w:szCs w:val="20"/>
        </w:rPr>
      </w:pPr>
    </w:p>
    <w:p w14:paraId="00000043" w14:textId="2E4AC351"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Al respecto, ha explicado la jurisprudencia que la configuración del </w:t>
      </w:r>
      <w:r>
        <w:rPr>
          <w:rFonts w:ascii="Verdana" w:eastAsia="Verdana" w:hAnsi="Verdana" w:cs="Verdana"/>
          <w:i/>
          <w:sz w:val="20"/>
          <w:szCs w:val="20"/>
        </w:rPr>
        <w:t>Estado Social de Derecho</w:t>
      </w:r>
      <w:r>
        <w:rPr>
          <w:rFonts w:ascii="Verdana" w:eastAsia="Verdana" w:hAnsi="Verdana" w:cs="Verdana"/>
          <w:sz w:val="20"/>
          <w:szCs w:val="20"/>
        </w:rPr>
        <w:t xml:space="preserve"> significa, entre otros aspectos, el reconocimiento expreso del deber especial de protección que le corresponde frente a aquellas personas en condición de vulnerabilidad, así como frente a todos los demás ciudadanos, entre quienes debe “</w:t>
      </w:r>
      <w:r>
        <w:rPr>
          <w:rFonts w:ascii="Verdana" w:eastAsia="Verdana" w:hAnsi="Verdana" w:cs="Verdana"/>
          <w:i/>
          <w:sz w:val="20"/>
          <w:szCs w:val="20"/>
        </w:rPr>
        <w:t>promover condiciones para que la igualdad sea real</w:t>
      </w:r>
      <w:r>
        <w:rPr>
          <w:rFonts w:ascii="Verdana" w:eastAsia="Verdana" w:hAnsi="Verdana" w:cs="Verdana"/>
          <w:sz w:val="20"/>
          <w:szCs w:val="20"/>
        </w:rPr>
        <w:t>”, conforme el artículo 13 Superior, y les permita gozar efectivamente de los derechos garantizados por la Constitución bajo los principios de dignidad humana y solidaridad</w:t>
      </w:r>
      <w:r>
        <w:rPr>
          <w:rFonts w:ascii="Verdana" w:eastAsia="Verdana" w:hAnsi="Verdana" w:cs="Verdana"/>
          <w:sz w:val="20"/>
          <w:szCs w:val="20"/>
        </w:rPr>
        <w:t xml:space="preserve"> (Corte Constitucional, Sentencia T-249 de 2022, Magistrado Ponente José Fernando Reyes)</w:t>
      </w:r>
      <w:r w:rsidR="00DC6FB7">
        <w:rPr>
          <w:rFonts w:ascii="Verdana" w:eastAsia="Verdana" w:hAnsi="Verdana" w:cs="Verdana"/>
          <w:sz w:val="20"/>
          <w:szCs w:val="20"/>
        </w:rPr>
        <w:t>.</w:t>
      </w:r>
    </w:p>
    <w:p w14:paraId="00000044" w14:textId="77777777" w:rsidR="002B2554" w:rsidRDefault="002B2554">
      <w:pPr>
        <w:spacing w:after="0" w:line="240" w:lineRule="auto"/>
        <w:jc w:val="both"/>
        <w:rPr>
          <w:rFonts w:ascii="Verdana" w:eastAsia="Verdana" w:hAnsi="Verdana" w:cs="Verdana"/>
          <w:sz w:val="20"/>
          <w:szCs w:val="20"/>
        </w:rPr>
      </w:pPr>
    </w:p>
    <w:p w14:paraId="00000045"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Es importante mencionar, frente al concepto y dimensiones de la </w:t>
      </w:r>
      <w:r>
        <w:rPr>
          <w:rFonts w:ascii="Verdana" w:eastAsia="Verdana" w:hAnsi="Verdana" w:cs="Verdana"/>
          <w:i/>
          <w:sz w:val="20"/>
          <w:szCs w:val="20"/>
        </w:rPr>
        <w:t>dignidad humana</w:t>
      </w:r>
      <w:r>
        <w:rPr>
          <w:rFonts w:ascii="Verdana" w:eastAsia="Verdana" w:hAnsi="Verdana" w:cs="Verdana"/>
          <w:sz w:val="20"/>
          <w:szCs w:val="20"/>
        </w:rPr>
        <w:t xml:space="preserve">, que   la Corte Constitucional señaló que es un atributo esencial de la persona humana, bajo el cual, los seres humanos son considerados como fines en sí mismos (T-522 de 1992). La dignidad humana tiene una triple condición de </w:t>
      </w:r>
      <w:r>
        <w:rPr>
          <w:rFonts w:ascii="Verdana" w:eastAsia="Verdana" w:hAnsi="Verdana" w:cs="Verdana"/>
          <w:i/>
          <w:sz w:val="20"/>
          <w:szCs w:val="20"/>
        </w:rPr>
        <w:t>principio</w:t>
      </w:r>
      <w:r>
        <w:rPr>
          <w:rFonts w:ascii="Verdana" w:eastAsia="Verdana" w:hAnsi="Verdana" w:cs="Verdana"/>
          <w:sz w:val="20"/>
          <w:szCs w:val="20"/>
        </w:rPr>
        <w:t xml:space="preserve"> fundante del Estado, </w:t>
      </w:r>
      <w:r>
        <w:rPr>
          <w:rFonts w:ascii="Verdana" w:eastAsia="Verdana" w:hAnsi="Verdana" w:cs="Verdana"/>
          <w:i/>
          <w:sz w:val="20"/>
          <w:szCs w:val="20"/>
        </w:rPr>
        <w:t>valor</w:t>
      </w:r>
      <w:r>
        <w:rPr>
          <w:rFonts w:ascii="Verdana" w:eastAsia="Verdana" w:hAnsi="Verdana" w:cs="Verdana"/>
          <w:sz w:val="20"/>
          <w:szCs w:val="20"/>
        </w:rPr>
        <w:t xml:space="preserve"> del ordenamiento jurídico y </w:t>
      </w:r>
      <w:r>
        <w:rPr>
          <w:rFonts w:ascii="Verdana" w:eastAsia="Verdana" w:hAnsi="Verdana" w:cs="Verdana"/>
          <w:i/>
          <w:sz w:val="20"/>
          <w:szCs w:val="20"/>
        </w:rPr>
        <w:t>derecho fundamental</w:t>
      </w:r>
      <w:r>
        <w:rPr>
          <w:rFonts w:ascii="Verdana" w:eastAsia="Verdana" w:hAnsi="Verdana" w:cs="Verdana"/>
          <w:sz w:val="20"/>
          <w:szCs w:val="20"/>
        </w:rPr>
        <w:t xml:space="preserve">; como principio constitucional, resulta superior, vinculante y absoluto, </w:t>
      </w:r>
      <w:proofErr w:type="gramStart"/>
      <w:r>
        <w:rPr>
          <w:rFonts w:ascii="Verdana" w:eastAsia="Verdana" w:hAnsi="Verdana" w:cs="Verdana"/>
          <w:sz w:val="20"/>
          <w:szCs w:val="20"/>
        </w:rPr>
        <w:t>y</w:t>
      </w:r>
      <w:proofErr w:type="gramEnd"/>
      <w:r>
        <w:rPr>
          <w:rFonts w:ascii="Verdana" w:eastAsia="Verdana" w:hAnsi="Verdana" w:cs="Verdana"/>
          <w:sz w:val="20"/>
          <w:szCs w:val="20"/>
        </w:rPr>
        <w:t xml:space="preserve"> por tanto, no admite limitación bajo ninguna circunstancia. (Sentencias SU-062 de 1999, T-702 de 2001, T-208 </w:t>
      </w:r>
      <w:r>
        <w:rPr>
          <w:rFonts w:ascii="Verdana" w:eastAsia="Verdana" w:hAnsi="Verdana" w:cs="Verdana"/>
          <w:sz w:val="20"/>
          <w:szCs w:val="20"/>
        </w:rPr>
        <w:t xml:space="preserve">de 2015, SU-306 de 2023). </w:t>
      </w:r>
    </w:p>
    <w:p w14:paraId="00000046" w14:textId="77777777" w:rsidR="002B2554" w:rsidRDefault="002B2554">
      <w:pPr>
        <w:spacing w:after="0" w:line="240" w:lineRule="auto"/>
        <w:jc w:val="both"/>
        <w:rPr>
          <w:rFonts w:ascii="Verdana" w:eastAsia="Verdana" w:hAnsi="Verdana" w:cs="Verdana"/>
          <w:sz w:val="20"/>
          <w:szCs w:val="20"/>
        </w:rPr>
      </w:pPr>
    </w:p>
    <w:p w14:paraId="00000047" w14:textId="6AE5B58C"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este sentido, el contenido material de la dignidad humana se vincula con al menos tres aspectos de la persona: autonomía individual o posibilidad de diseñar un plan de vida, la integridad física y moral, y contar con ciertas condiciones materiales concretas de </w:t>
      </w:r>
      <w:proofErr w:type="gramStart"/>
      <w:r>
        <w:rPr>
          <w:rFonts w:ascii="Verdana" w:eastAsia="Verdana" w:hAnsi="Verdana" w:cs="Verdana"/>
          <w:sz w:val="20"/>
          <w:szCs w:val="20"/>
        </w:rPr>
        <w:t>existencia</w:t>
      </w:r>
      <w:r>
        <w:rPr>
          <w:rFonts w:ascii="Verdana" w:eastAsia="Verdana" w:hAnsi="Verdana" w:cs="Verdana"/>
          <w:sz w:val="20"/>
          <w:szCs w:val="20"/>
        </w:rPr>
        <w:t xml:space="preserve">  [</w:t>
      </w:r>
      <w:proofErr w:type="gramEnd"/>
      <w:r>
        <w:rPr>
          <w:rFonts w:ascii="Verdana" w:eastAsia="Verdana" w:hAnsi="Verdana" w:cs="Verdana"/>
          <w:i/>
          <w:sz w:val="20"/>
          <w:szCs w:val="20"/>
        </w:rPr>
        <w:t>vivir bien</w:t>
      </w:r>
      <w:r>
        <w:rPr>
          <w:rFonts w:ascii="Verdana" w:eastAsia="Verdana" w:hAnsi="Verdana" w:cs="Verdana"/>
          <w:sz w:val="20"/>
          <w:szCs w:val="20"/>
        </w:rPr>
        <w:t>] (Corte Constitucional, Sentencia T-881 de 2002, Magistrado Ponente Eduardo Montealegre Lynett)</w:t>
      </w:r>
      <w:r w:rsidR="00AC37C9">
        <w:rPr>
          <w:rFonts w:ascii="Verdana" w:eastAsia="Verdana" w:hAnsi="Verdana" w:cs="Verdana"/>
          <w:sz w:val="20"/>
          <w:szCs w:val="20"/>
        </w:rPr>
        <w:t>.</w:t>
      </w:r>
    </w:p>
    <w:p w14:paraId="00000048" w14:textId="77777777" w:rsidR="002B2554" w:rsidRDefault="002B2554">
      <w:pPr>
        <w:spacing w:after="0" w:line="240" w:lineRule="auto"/>
        <w:jc w:val="both"/>
        <w:rPr>
          <w:rFonts w:ascii="Verdana" w:eastAsia="Verdana" w:hAnsi="Verdana" w:cs="Verdana"/>
          <w:sz w:val="20"/>
          <w:szCs w:val="20"/>
        </w:rPr>
      </w:pPr>
    </w:p>
    <w:p w14:paraId="00000049"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Estas dimensiones están estrechamente relacionadas con el derecho al mínimo vital como una garantía que tiene toda persona a gozar de las condiciones materiales que le permitan llevar una existencia digna; y </w:t>
      </w:r>
      <w:r>
        <w:rPr>
          <w:rFonts w:ascii="Verdana" w:eastAsia="Verdana" w:hAnsi="Verdana" w:cs="Verdana"/>
          <w:i/>
          <w:sz w:val="20"/>
          <w:szCs w:val="20"/>
        </w:rPr>
        <w:t>“si bien todas las personas son titulares del derecho al mínimo vital, existen determinados sectores de la población que, por su vulnerabilidad, pueden ver reducido este derecho”</w:t>
      </w:r>
      <w:r>
        <w:rPr>
          <w:rFonts w:ascii="Verdana" w:eastAsia="Verdana" w:hAnsi="Verdana" w:cs="Verdana"/>
          <w:sz w:val="20"/>
          <w:szCs w:val="20"/>
        </w:rPr>
        <w:t xml:space="preserve"> (Corte Constitucional, Sentencia T-159 de 2023, Magistrado Ponente José Fernando Reyes), por tanto, surge un deber de protección mayor o reforzado para alcanzar la realización plena del derecho. </w:t>
      </w:r>
    </w:p>
    <w:p w14:paraId="0000004A" w14:textId="77777777" w:rsidR="002B2554" w:rsidRDefault="002B2554">
      <w:pPr>
        <w:spacing w:after="0" w:line="240" w:lineRule="auto"/>
        <w:jc w:val="both"/>
        <w:rPr>
          <w:rFonts w:ascii="Verdana" w:eastAsia="Verdana" w:hAnsi="Verdana" w:cs="Verdana"/>
          <w:sz w:val="20"/>
          <w:szCs w:val="20"/>
        </w:rPr>
      </w:pPr>
    </w:p>
    <w:p w14:paraId="0EE8231E" w14:textId="33116054" w:rsidR="00AC37C9"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De ahí que, </w:t>
      </w:r>
      <w:r>
        <w:rPr>
          <w:rFonts w:ascii="Verdana" w:eastAsia="Verdana" w:hAnsi="Verdana" w:cs="Verdana"/>
          <w:i/>
          <w:sz w:val="20"/>
          <w:szCs w:val="20"/>
        </w:rPr>
        <w:t>“el derecho al mínimo vital cobra especial preponderancia cuando se trata de valorar “situaciones humanas límite”, como aquellas derivadas de la existencia de condiciones extremas de vulnerabilidad económica o social. La garantía de este derecho reviste una importancia particular cuando se trata de garantizar la supervivencia digna de sujetos de especial protección constitucional”</w:t>
      </w:r>
      <w:r>
        <w:rPr>
          <w:rFonts w:ascii="Verdana" w:eastAsia="Verdana" w:hAnsi="Verdana" w:cs="Verdana"/>
          <w:i/>
          <w:sz w:val="20"/>
          <w:szCs w:val="20"/>
        </w:rPr>
        <w:t xml:space="preserve"> </w:t>
      </w:r>
      <w:r>
        <w:rPr>
          <w:rFonts w:ascii="Verdana" w:eastAsia="Verdana" w:hAnsi="Verdana" w:cs="Verdana"/>
          <w:sz w:val="20"/>
          <w:szCs w:val="20"/>
        </w:rPr>
        <w:t>(Corte Constitucional, Sentencia T-249 de 2022, Magistrado Ponente José Fernando Reyes)</w:t>
      </w:r>
      <w:r w:rsidR="00AC37C9">
        <w:rPr>
          <w:rFonts w:ascii="Verdana" w:eastAsia="Verdana" w:hAnsi="Verdana" w:cs="Verdana"/>
          <w:sz w:val="20"/>
          <w:szCs w:val="20"/>
        </w:rPr>
        <w:t>.</w:t>
      </w:r>
    </w:p>
    <w:p w14:paraId="0000004B" w14:textId="0972A9C8"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 </w:t>
      </w:r>
    </w:p>
    <w:p w14:paraId="0000004C"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Estas consideraciones son necesarias, </w:t>
      </w:r>
      <w:r w:rsidRPr="00E36D3E">
        <w:rPr>
          <w:rFonts w:ascii="Verdana" w:eastAsia="Verdana" w:hAnsi="Verdana" w:cs="Verdana"/>
          <w:sz w:val="20"/>
          <w:szCs w:val="20"/>
          <w:u w:val="single"/>
        </w:rPr>
        <w:t xml:space="preserve">pues </w:t>
      </w:r>
      <w:r w:rsidRPr="00E36D3E">
        <w:rPr>
          <w:rFonts w:ascii="Verdana" w:eastAsia="Verdana" w:hAnsi="Verdana" w:cs="Verdana"/>
          <w:sz w:val="20"/>
          <w:szCs w:val="20"/>
          <w:u w:val="single"/>
        </w:rPr>
        <w:t>las personas que habitan las áreas del Sistema de Parques Nacionales Naturales enfrentan limitaciones para el goce efectivo de sus derechos y una baja calidad de vida, en particular, aquellas que se encuentran en condiciones de vulnerabilidad y pobreza extrema</w:t>
      </w:r>
      <w:r>
        <w:rPr>
          <w:rFonts w:ascii="Verdana" w:eastAsia="Verdana" w:hAnsi="Verdana" w:cs="Verdana"/>
          <w:sz w:val="20"/>
          <w:szCs w:val="20"/>
        </w:rPr>
        <w:t xml:space="preserve">. Esta situación se agrava frente a fenómenos como la exclusión social y marginalidad, en especial, en aquellas áreas protegidas que se ubican en zonas históricamente afectadas por el conflicto armado y la ausencia del Estado. </w:t>
      </w:r>
    </w:p>
    <w:p w14:paraId="0000004D" w14:textId="77777777" w:rsidR="002B2554" w:rsidRDefault="002B2554">
      <w:pPr>
        <w:spacing w:after="0" w:line="240" w:lineRule="auto"/>
        <w:jc w:val="both"/>
        <w:rPr>
          <w:rFonts w:ascii="Verdana" w:eastAsia="Verdana" w:hAnsi="Verdana" w:cs="Verdana"/>
          <w:sz w:val="20"/>
          <w:szCs w:val="20"/>
        </w:rPr>
      </w:pPr>
    </w:p>
    <w:p w14:paraId="0000004E" w14:textId="77777777" w:rsidR="002B2554" w:rsidRDefault="004F2B40">
      <w:pPr>
        <w:spacing w:after="0" w:line="240" w:lineRule="auto"/>
        <w:jc w:val="both"/>
        <w:rPr>
          <w:rFonts w:ascii="Verdana" w:eastAsia="Verdana" w:hAnsi="Verdana" w:cs="Verdana"/>
          <w:i/>
          <w:sz w:val="20"/>
          <w:szCs w:val="20"/>
        </w:rPr>
      </w:pPr>
      <w:r>
        <w:rPr>
          <w:rFonts w:ascii="Verdana" w:eastAsia="Verdana" w:hAnsi="Verdana" w:cs="Verdana"/>
          <w:sz w:val="20"/>
          <w:szCs w:val="20"/>
        </w:rPr>
        <w:t>Al respecto, el CONPES 4050 de 2021 señala que el 65% de la población que habita áreas protegidas (DANE, 2014) se encuentra en situación de pobreza multidimensional, y “</w:t>
      </w:r>
      <w:r>
        <w:rPr>
          <w:rFonts w:ascii="Verdana" w:eastAsia="Verdana" w:hAnsi="Verdana" w:cs="Verdana"/>
          <w:i/>
          <w:sz w:val="20"/>
          <w:szCs w:val="20"/>
        </w:rPr>
        <w:t>esta población es 19,4% más pobre, en comparación con el promedio nacional del área rural dispersa, y corresponde a comunidades campesinas y grupos étnicos principalmente</w:t>
      </w:r>
      <w:r>
        <w:rPr>
          <w:rFonts w:ascii="Verdana" w:eastAsia="Verdana" w:hAnsi="Verdana" w:cs="Verdana"/>
          <w:sz w:val="20"/>
          <w:szCs w:val="20"/>
        </w:rPr>
        <w:t xml:space="preserve">” (p.60). Respecto a las condiciones de desigualdad frente a otras comunidades, </w:t>
      </w:r>
      <w:r>
        <w:rPr>
          <w:rFonts w:ascii="Verdana" w:eastAsia="Verdana" w:hAnsi="Verdana" w:cs="Verdana"/>
          <w:i/>
          <w:sz w:val="20"/>
          <w:szCs w:val="20"/>
        </w:rPr>
        <w:t>“</w:t>
      </w:r>
      <w:r w:rsidRPr="002A20A7">
        <w:rPr>
          <w:rFonts w:ascii="Verdana" w:eastAsia="Verdana" w:hAnsi="Verdana" w:cs="Verdana"/>
          <w:b/>
          <w:bCs/>
          <w:i/>
          <w:sz w:val="20"/>
          <w:szCs w:val="20"/>
        </w:rPr>
        <w:t>los ocupantes de las áreas protegidas públicas asumen buena parte de los costos de la conservación. Estos costos se evidencian en las limitaciones al uso de recursos naturales, a la formalización de la propiedad y a la disponibilidad de servicios asociados a la ocupación</w:t>
      </w:r>
      <w:r>
        <w:rPr>
          <w:rFonts w:ascii="Verdana" w:eastAsia="Verdana" w:hAnsi="Verdana" w:cs="Verdana"/>
          <w:i/>
          <w:sz w:val="20"/>
          <w:szCs w:val="20"/>
        </w:rPr>
        <w:t>”</w:t>
      </w:r>
      <w:r>
        <w:rPr>
          <w:rFonts w:ascii="Verdana" w:eastAsia="Verdana" w:hAnsi="Verdana" w:cs="Verdana"/>
          <w:sz w:val="20"/>
          <w:szCs w:val="20"/>
        </w:rPr>
        <w:t xml:space="preserve"> (p.59)</w:t>
      </w:r>
      <w:r>
        <w:rPr>
          <w:rFonts w:ascii="Verdana" w:eastAsia="Verdana" w:hAnsi="Verdana" w:cs="Verdana"/>
          <w:i/>
          <w:sz w:val="20"/>
          <w:szCs w:val="20"/>
        </w:rPr>
        <w:t>.</w:t>
      </w:r>
    </w:p>
    <w:p w14:paraId="0000004F" w14:textId="77777777" w:rsidR="002B2554" w:rsidRDefault="002B2554">
      <w:pPr>
        <w:spacing w:after="0" w:line="240" w:lineRule="auto"/>
        <w:jc w:val="both"/>
        <w:rPr>
          <w:rFonts w:ascii="Verdana" w:eastAsia="Verdana" w:hAnsi="Verdana" w:cs="Verdana"/>
          <w:sz w:val="20"/>
          <w:szCs w:val="20"/>
        </w:rPr>
      </w:pPr>
    </w:p>
    <w:p w14:paraId="00000050" w14:textId="400DBC3C"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En este sentido, acorde con las competencias legales y reglamentarias de esta autoridad,</w:t>
      </w:r>
      <w:r w:rsidR="00935B2C">
        <w:rPr>
          <w:rFonts w:ascii="Verdana" w:eastAsia="Verdana" w:hAnsi="Verdana" w:cs="Verdana"/>
          <w:sz w:val="20"/>
          <w:szCs w:val="20"/>
        </w:rPr>
        <w:t xml:space="preserve"> y de acuerdo con las condiciones descritas en el Plan de Manejo del </w:t>
      </w:r>
      <w:r w:rsidR="002B7EA4">
        <w:rPr>
          <w:rFonts w:ascii="Verdana" w:eastAsia="Verdana" w:hAnsi="Verdana" w:cs="Verdana"/>
          <w:sz w:val="20"/>
          <w:szCs w:val="20"/>
        </w:rPr>
        <w:t>Santuario de Fauna</w:t>
      </w:r>
      <w:r w:rsidR="008500CA">
        <w:rPr>
          <w:rFonts w:ascii="Verdana" w:eastAsia="Verdana" w:hAnsi="Verdana" w:cs="Verdana"/>
          <w:sz w:val="20"/>
          <w:szCs w:val="20"/>
        </w:rPr>
        <w:t xml:space="preserve"> y Flora Los Colorados con respecto a la población que habita al interior del área,</w:t>
      </w:r>
      <w:r>
        <w:rPr>
          <w:rFonts w:ascii="Verdana" w:eastAsia="Verdana" w:hAnsi="Verdana" w:cs="Verdana"/>
          <w:sz w:val="20"/>
          <w:szCs w:val="20"/>
        </w:rPr>
        <w:t xml:space="preserve"> es procedente la implementación de acciones afirmativas desde un enfoque de gestión administrativa integrada y participativa, que tenga en cuenta estas dificultades en ejercicio de la facultad de manejo y administración de las áreas protegidas, como es el caso del Santuario de Fauna y Flora Los Colorados. </w:t>
      </w:r>
    </w:p>
    <w:p w14:paraId="00000051" w14:textId="77777777" w:rsidR="002B2554" w:rsidRDefault="002B2554">
      <w:pPr>
        <w:spacing w:after="0" w:line="240" w:lineRule="auto"/>
        <w:jc w:val="both"/>
        <w:rPr>
          <w:rFonts w:ascii="Verdana" w:eastAsia="Verdana" w:hAnsi="Verdana" w:cs="Verdana"/>
          <w:sz w:val="20"/>
          <w:szCs w:val="20"/>
        </w:rPr>
      </w:pPr>
    </w:p>
    <w:p w14:paraId="00000052"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Teniendo en cuenta lo anterior, se ha venido generando un marco jurídico contentivo de algunos instrumentos que contribuyen a abordar esas problemáticas desde una conceptualización distinta del manejo del Sistema de Parques Nacionales, que pretende atender estructuralmente esas desigualdades, así como brindar herramientas que permitan enfrentar los complejos y diversos retos asociados a los conflictos socio-ecológicos o «ambientales» en el sentido amplio e integral del término entendiendo que lo </w:t>
      </w:r>
      <w:r>
        <w:rPr>
          <w:rFonts w:ascii="Verdana" w:eastAsia="Verdana" w:hAnsi="Verdana" w:cs="Verdana"/>
          <w:i/>
          <w:sz w:val="20"/>
          <w:szCs w:val="20"/>
        </w:rPr>
        <w:t>ambiental</w:t>
      </w:r>
      <w:r>
        <w:rPr>
          <w:rFonts w:ascii="Verdana" w:eastAsia="Verdana" w:hAnsi="Verdana" w:cs="Verdana"/>
          <w:sz w:val="20"/>
          <w:szCs w:val="20"/>
        </w:rPr>
        <w:t xml:space="preserve">, </w:t>
      </w:r>
      <w:r>
        <w:rPr>
          <w:rFonts w:ascii="Verdana" w:eastAsia="Verdana" w:hAnsi="Verdana" w:cs="Verdana"/>
          <w:sz w:val="20"/>
          <w:szCs w:val="20"/>
        </w:rPr>
        <w:lastRenderedPageBreak/>
        <w:t>incluye las relaciones socioculturales con la naturaleza y cuestiona la separación Naturaleza/Cultura</w:t>
      </w:r>
      <w:r>
        <w:rPr>
          <w:rFonts w:ascii="Verdana" w:eastAsia="Verdana" w:hAnsi="Verdana" w:cs="Verdana"/>
          <w:sz w:val="20"/>
          <w:szCs w:val="20"/>
          <w:vertAlign w:val="superscript"/>
        </w:rPr>
        <w:footnoteReference w:id="1"/>
      </w:r>
      <w:r>
        <w:rPr>
          <w:rFonts w:ascii="Verdana" w:eastAsia="Verdana" w:hAnsi="Verdana" w:cs="Verdana"/>
          <w:sz w:val="20"/>
          <w:szCs w:val="20"/>
        </w:rPr>
        <w:t xml:space="preserve">. </w:t>
      </w:r>
    </w:p>
    <w:p w14:paraId="00000053" w14:textId="77777777" w:rsidR="002B2554" w:rsidRDefault="002B2554">
      <w:pPr>
        <w:spacing w:after="0" w:line="240" w:lineRule="auto"/>
        <w:jc w:val="both"/>
        <w:rPr>
          <w:rFonts w:ascii="Verdana" w:eastAsia="Verdana" w:hAnsi="Verdana" w:cs="Verdana"/>
          <w:sz w:val="20"/>
          <w:szCs w:val="20"/>
        </w:rPr>
      </w:pPr>
    </w:p>
    <w:p w14:paraId="00000054"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Dicho marco jurídico, aunado a la aplicación de los principios constitucionales señalados anteriormente, permite gestionar desde una mirada integral la problemática asociada a las relaciones que se generan en el territorio dentro de las áreas protegidas, así como los conflictos, tensiones y efectos derivados de la visión estricta de conservación y protección ambiental con relación a la ocupación y presencia de comunidades al interior de las mismas, apoyado en </w:t>
      </w:r>
      <w:r w:rsidRPr="007519A8">
        <w:rPr>
          <w:rFonts w:ascii="Verdana" w:eastAsia="Verdana" w:hAnsi="Verdana" w:cs="Verdana"/>
          <w:sz w:val="20"/>
          <w:szCs w:val="20"/>
          <w:u w:val="single"/>
        </w:rPr>
        <w:t>enfoques diferenciales</w:t>
      </w:r>
      <w:r>
        <w:rPr>
          <w:rFonts w:ascii="Verdana" w:eastAsia="Verdana" w:hAnsi="Verdana" w:cs="Verdana"/>
          <w:sz w:val="20"/>
          <w:szCs w:val="20"/>
        </w:rPr>
        <w:t xml:space="preserve"> como la </w:t>
      </w:r>
      <w:r>
        <w:rPr>
          <w:rFonts w:ascii="Verdana" w:eastAsia="Verdana" w:hAnsi="Verdana" w:cs="Verdana"/>
          <w:i/>
          <w:sz w:val="20"/>
          <w:szCs w:val="20"/>
        </w:rPr>
        <w:t>interseccionalidad</w:t>
      </w:r>
      <w:r>
        <w:rPr>
          <w:rFonts w:ascii="Verdana" w:eastAsia="Verdana" w:hAnsi="Verdana" w:cs="Verdana"/>
          <w:sz w:val="20"/>
          <w:szCs w:val="20"/>
        </w:rPr>
        <w:t xml:space="preserve">, el </w:t>
      </w:r>
      <w:r>
        <w:rPr>
          <w:rFonts w:ascii="Verdana" w:eastAsia="Verdana" w:hAnsi="Verdana" w:cs="Verdana"/>
          <w:i/>
          <w:sz w:val="20"/>
          <w:szCs w:val="20"/>
        </w:rPr>
        <w:t>enfoque de derechos humanos</w:t>
      </w:r>
      <w:r>
        <w:rPr>
          <w:rFonts w:ascii="Verdana" w:eastAsia="Verdana" w:hAnsi="Verdana" w:cs="Verdana"/>
          <w:sz w:val="20"/>
          <w:szCs w:val="20"/>
        </w:rPr>
        <w:t xml:space="preserve">, la ponderación y armonización de derechos, el enfoque territorial y regional, y el </w:t>
      </w:r>
      <w:r>
        <w:rPr>
          <w:rFonts w:ascii="Verdana" w:eastAsia="Verdana" w:hAnsi="Verdana" w:cs="Verdana"/>
          <w:i/>
          <w:sz w:val="20"/>
          <w:szCs w:val="20"/>
        </w:rPr>
        <w:t>enfoque de justicia ambiental</w:t>
      </w:r>
      <w:r>
        <w:rPr>
          <w:rFonts w:ascii="Verdana" w:eastAsia="Verdana" w:hAnsi="Verdana" w:cs="Verdana"/>
          <w:sz w:val="20"/>
          <w:szCs w:val="20"/>
        </w:rPr>
        <w:t xml:space="preserve">, todos estos aplicables al caso del Santuario de Fauna y Flora Los Colorados. </w:t>
      </w:r>
    </w:p>
    <w:p w14:paraId="00000055" w14:textId="77777777" w:rsidR="002B2554" w:rsidRDefault="002B2554">
      <w:pPr>
        <w:spacing w:after="0" w:line="240" w:lineRule="auto"/>
        <w:jc w:val="both"/>
        <w:rPr>
          <w:rFonts w:ascii="Verdana" w:eastAsia="Verdana" w:hAnsi="Verdana" w:cs="Verdana"/>
          <w:sz w:val="20"/>
          <w:szCs w:val="20"/>
        </w:rPr>
      </w:pPr>
    </w:p>
    <w:p w14:paraId="00000056"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este sentido, dentro de los instrumentos normativos con que cuenta esta Autoridad para atender dichas situaciones, cabe recordar que Parques Nacionales Naturales de Colombia expidió la Resolución 470 del 14 de noviembre de 2018, con la cual estableció las condiciones para la intervención de infraestructura habitable existente, en situación de deterioro o colapso, que genere riesgo a la vida y/o al ambiente al interior de las áreas del Sistema de Parques Nacionales Naturales. </w:t>
      </w:r>
    </w:p>
    <w:p w14:paraId="00000057" w14:textId="77777777" w:rsidR="002B2554" w:rsidRDefault="002B2554">
      <w:pPr>
        <w:spacing w:after="0" w:line="240" w:lineRule="auto"/>
        <w:jc w:val="both"/>
        <w:rPr>
          <w:rFonts w:ascii="Verdana" w:eastAsia="Verdana" w:hAnsi="Verdana" w:cs="Verdana"/>
          <w:sz w:val="20"/>
          <w:szCs w:val="20"/>
        </w:rPr>
      </w:pPr>
    </w:p>
    <w:p w14:paraId="00000058"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Adicionalmente, como una medida para atender la multiplicidad de situaciones de uso, ocupación y tenencia de tierras al interior de las áreas protegidas, en aras de virar hacia un entendimiento complejo de las relaciones con el </w:t>
      </w:r>
      <w:r>
        <w:rPr>
          <w:rFonts w:ascii="Verdana" w:eastAsia="Verdana" w:hAnsi="Verdana" w:cs="Verdana"/>
          <w:i/>
          <w:sz w:val="20"/>
          <w:szCs w:val="20"/>
        </w:rPr>
        <w:t>territorio</w:t>
      </w:r>
      <w:r>
        <w:rPr>
          <w:rFonts w:ascii="Verdana" w:eastAsia="Verdana" w:hAnsi="Verdana" w:cs="Verdana"/>
          <w:sz w:val="20"/>
          <w:szCs w:val="20"/>
        </w:rPr>
        <w:t xml:space="preserve">, el artículo 7 de la Ley 1955 de 2019 estableció: </w:t>
      </w:r>
    </w:p>
    <w:p w14:paraId="00000059" w14:textId="77777777" w:rsidR="002B2554" w:rsidRDefault="002B2554">
      <w:pPr>
        <w:spacing w:after="0" w:line="240" w:lineRule="auto"/>
        <w:jc w:val="both"/>
        <w:rPr>
          <w:rFonts w:ascii="Verdana" w:eastAsia="Verdana" w:hAnsi="Verdana" w:cs="Verdana"/>
          <w:sz w:val="20"/>
          <w:szCs w:val="20"/>
        </w:rPr>
      </w:pPr>
    </w:p>
    <w:p w14:paraId="0000005A" w14:textId="77777777" w:rsidR="002B2554" w:rsidRDefault="002B2554">
      <w:pPr>
        <w:spacing w:after="0" w:line="240" w:lineRule="auto"/>
        <w:ind w:left="426" w:right="335"/>
        <w:jc w:val="both"/>
        <w:rPr>
          <w:rFonts w:ascii="Verdana" w:eastAsia="Verdana" w:hAnsi="Verdana" w:cs="Verdana"/>
          <w:i/>
          <w:sz w:val="20"/>
          <w:szCs w:val="20"/>
        </w:rPr>
      </w:pPr>
    </w:p>
    <w:p w14:paraId="0000005B" w14:textId="77777777" w:rsidR="002B2554" w:rsidRDefault="004F2B40">
      <w:pPr>
        <w:spacing w:after="0" w:line="240" w:lineRule="auto"/>
        <w:ind w:left="426" w:right="283"/>
        <w:jc w:val="both"/>
        <w:rPr>
          <w:rFonts w:ascii="Verdana" w:eastAsia="Verdana" w:hAnsi="Verdana" w:cs="Verdana"/>
          <w:i/>
          <w:sz w:val="20"/>
          <w:szCs w:val="20"/>
        </w:rPr>
      </w:pPr>
      <w:r>
        <w:rPr>
          <w:rFonts w:ascii="Verdana" w:eastAsia="Verdana" w:hAnsi="Verdana" w:cs="Verdana"/>
          <w:i/>
          <w:sz w:val="20"/>
          <w:szCs w:val="20"/>
        </w:rPr>
        <w:t>“</w:t>
      </w:r>
      <w:r>
        <w:rPr>
          <w:rFonts w:ascii="Verdana" w:eastAsia="Verdana" w:hAnsi="Verdana" w:cs="Verdana"/>
          <w:b/>
          <w:i/>
          <w:sz w:val="20"/>
          <w:szCs w:val="20"/>
        </w:rPr>
        <w:t>Artículo 7. Conflictos Socioambientales en Áreas Protegidas del Sistema Nacional de Áreas Protegidas (SINAP).</w:t>
      </w:r>
      <w:r>
        <w:rPr>
          <w:rFonts w:ascii="Verdana" w:eastAsia="Verdana" w:hAnsi="Verdana" w:cs="Verdana"/>
          <w:i/>
          <w:sz w:val="20"/>
          <w:szCs w:val="20"/>
        </w:rPr>
        <w:t xml:space="preserve"> Las autoridades ambientales, en coordinación con otras entidades públicas y en el marco de sus funciones </w:t>
      </w:r>
      <w:r>
        <w:rPr>
          <w:rFonts w:ascii="Verdana" w:eastAsia="Verdana" w:hAnsi="Verdana" w:cs="Verdana"/>
          <w:b/>
          <w:i/>
          <w:sz w:val="20"/>
          <w:szCs w:val="20"/>
          <w:u w:val="single"/>
        </w:rPr>
        <w:t xml:space="preserve">podrán celebrar </w:t>
      </w:r>
      <w:r>
        <w:rPr>
          <w:rFonts w:ascii="Verdana" w:eastAsia="Verdana" w:hAnsi="Verdana" w:cs="Verdana"/>
          <w:b/>
          <w:i/>
          <w:sz w:val="20"/>
          <w:szCs w:val="20"/>
          <w:highlight w:val="white"/>
          <w:u w:val="single"/>
        </w:rPr>
        <w:t xml:space="preserve">acuerdos con población campesina en condición de </w:t>
      </w:r>
      <w:r>
        <w:rPr>
          <w:rFonts w:ascii="Verdana" w:eastAsia="Verdana" w:hAnsi="Verdana" w:cs="Verdana"/>
          <w:b/>
          <w:i/>
          <w:sz w:val="20"/>
          <w:szCs w:val="20"/>
          <w:u w:val="single"/>
        </w:rPr>
        <w:t>vulnerabilidad</w:t>
      </w:r>
      <w:r>
        <w:rPr>
          <w:rFonts w:ascii="Verdana" w:eastAsia="Verdana" w:hAnsi="Verdana" w:cs="Verdana"/>
          <w:i/>
          <w:sz w:val="20"/>
          <w:szCs w:val="20"/>
        </w:rPr>
        <w:t>, que habite, ocupe o realice usos tradicionales asociados a la economía campesina en áreas protegidas del SINAP que deriven su sustento de estos usos y que puedan ser reconocidos por las entidades que suscriben los acuerdos con una relación productiva artesanal y tradicional con el área protegida, con el objeto de contribuir a la atención de los conflictos de uso, ocupación y tenencia que se presenten en estas áreas.</w:t>
      </w:r>
    </w:p>
    <w:p w14:paraId="0000005C" w14:textId="77777777" w:rsidR="002B2554" w:rsidRDefault="004F2B40">
      <w:pPr>
        <w:spacing w:after="0" w:line="240" w:lineRule="auto"/>
        <w:ind w:left="426" w:right="283"/>
        <w:jc w:val="both"/>
        <w:rPr>
          <w:rFonts w:ascii="Verdana" w:eastAsia="Verdana" w:hAnsi="Verdana" w:cs="Verdana"/>
          <w:i/>
          <w:sz w:val="20"/>
          <w:szCs w:val="20"/>
        </w:rPr>
      </w:pPr>
      <w:r>
        <w:rPr>
          <w:rFonts w:ascii="Verdana" w:eastAsia="Verdana" w:hAnsi="Verdana" w:cs="Verdana"/>
          <w:i/>
          <w:sz w:val="20"/>
          <w:szCs w:val="20"/>
        </w:rPr>
        <w:t xml:space="preserve"> </w:t>
      </w:r>
    </w:p>
    <w:p w14:paraId="0000005D" w14:textId="77777777" w:rsidR="002B2554" w:rsidRDefault="004F2B40">
      <w:pPr>
        <w:spacing w:after="0" w:line="240" w:lineRule="auto"/>
        <w:ind w:left="426" w:right="283"/>
        <w:jc w:val="both"/>
        <w:rPr>
          <w:rFonts w:ascii="Verdana" w:eastAsia="Verdana" w:hAnsi="Verdana" w:cs="Verdana"/>
          <w:i/>
          <w:sz w:val="20"/>
          <w:szCs w:val="20"/>
        </w:rPr>
      </w:pPr>
      <w:r>
        <w:rPr>
          <w:rFonts w:ascii="Verdana" w:eastAsia="Verdana" w:hAnsi="Verdana" w:cs="Verdana"/>
          <w:b/>
          <w:i/>
          <w:sz w:val="20"/>
          <w:szCs w:val="20"/>
          <w:u w:val="single"/>
        </w:rPr>
        <w:t>Estos acuerdos permitirán generar alternativas de usos compatibles con los objetivos de conservación del área</w:t>
      </w:r>
      <w:r>
        <w:rPr>
          <w:rFonts w:ascii="Verdana" w:eastAsia="Verdana" w:hAnsi="Verdana" w:cs="Verdana"/>
          <w:i/>
          <w:sz w:val="20"/>
          <w:szCs w:val="20"/>
        </w:rPr>
        <w:t xml:space="preserve">, ordenar y </w:t>
      </w:r>
      <w:r>
        <w:rPr>
          <w:rFonts w:ascii="Verdana" w:eastAsia="Verdana" w:hAnsi="Verdana" w:cs="Verdana"/>
          <w:i/>
          <w:sz w:val="20"/>
          <w:szCs w:val="20"/>
          <w:u w:val="single"/>
        </w:rPr>
        <w:t>regular los usos asociados a la economía campesina</w:t>
      </w:r>
      <w:r>
        <w:rPr>
          <w:rFonts w:ascii="Verdana" w:eastAsia="Verdana" w:hAnsi="Verdana" w:cs="Verdana"/>
          <w:i/>
          <w:sz w:val="20"/>
          <w:szCs w:val="20"/>
        </w:rPr>
        <w:t xml:space="preserve">, para mejorar el estado de conservación de las áreas, definir actividades productivas acordes con los objetivos de conservación del área protegida y </w:t>
      </w:r>
      <w:r>
        <w:rPr>
          <w:rFonts w:ascii="Verdana" w:eastAsia="Verdana" w:hAnsi="Verdana" w:cs="Verdana"/>
          <w:b/>
          <w:i/>
          <w:sz w:val="20"/>
          <w:szCs w:val="20"/>
          <w:u w:val="single"/>
        </w:rPr>
        <w:t>las condiciones de vida de la población, garantizando sus derechos fundamentales</w:t>
      </w:r>
      <w:r>
        <w:rPr>
          <w:rFonts w:ascii="Verdana" w:eastAsia="Verdana" w:hAnsi="Verdana" w:cs="Verdana"/>
          <w:sz w:val="20"/>
          <w:szCs w:val="20"/>
        </w:rPr>
        <w:t>”.</w:t>
      </w:r>
      <w:r>
        <w:rPr>
          <w:rFonts w:ascii="Verdana" w:eastAsia="Verdana" w:hAnsi="Verdana" w:cs="Verdana"/>
          <w:i/>
          <w:sz w:val="20"/>
          <w:szCs w:val="20"/>
        </w:rPr>
        <w:t xml:space="preserve">  (Resaltado fuera del texto) </w:t>
      </w:r>
    </w:p>
    <w:p w14:paraId="5F7E5438" w14:textId="77777777" w:rsidR="001E5946" w:rsidRDefault="001E5946">
      <w:pPr>
        <w:spacing w:after="0" w:line="240" w:lineRule="auto"/>
        <w:jc w:val="both"/>
        <w:rPr>
          <w:rFonts w:ascii="Verdana" w:eastAsia="Verdana" w:hAnsi="Verdana" w:cs="Verdana"/>
          <w:sz w:val="20"/>
          <w:szCs w:val="20"/>
        </w:rPr>
      </w:pPr>
    </w:p>
    <w:p w14:paraId="0000005F" w14:textId="722DBB7B"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De acuerdo con el inciso segundo del artículo 7 de la Ley 1955 de 2019, es preciso tener en cuenta que estos acuerdos se pueden celebrar hasta tanto la concurrencia de las distintas entidades del Estado permita atender dichos conflictos con alternativas diferenciales, integrales y definitivas. Y su celebración no modifica el régimen de propiedad de las áreas, ni su régimen de protección ambiental. </w:t>
      </w:r>
    </w:p>
    <w:p w14:paraId="00000060" w14:textId="77777777" w:rsidR="002B2554" w:rsidRDefault="002B2554">
      <w:pPr>
        <w:spacing w:after="0" w:line="240" w:lineRule="auto"/>
        <w:jc w:val="both"/>
        <w:rPr>
          <w:rFonts w:ascii="Verdana" w:eastAsia="Verdana" w:hAnsi="Verdana" w:cs="Verdana"/>
          <w:sz w:val="20"/>
          <w:szCs w:val="20"/>
        </w:rPr>
      </w:pPr>
    </w:p>
    <w:p w14:paraId="00000061"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De manera complementaria, el artículo 29 de la Ley 2294 de 2023, por el cual se expide el Plan Nacional de Desarrollo 2022-2026 </w:t>
      </w:r>
      <w:r>
        <w:rPr>
          <w:rFonts w:ascii="Verdana" w:eastAsia="Verdana" w:hAnsi="Verdana" w:cs="Verdana"/>
          <w:i/>
          <w:sz w:val="20"/>
          <w:szCs w:val="20"/>
        </w:rPr>
        <w:t>“Colombia Potencia Mundial de la Vida</w:t>
      </w:r>
      <w:r>
        <w:rPr>
          <w:rFonts w:ascii="Verdana" w:eastAsia="Verdana" w:hAnsi="Verdana" w:cs="Verdana"/>
          <w:sz w:val="20"/>
          <w:szCs w:val="20"/>
        </w:rPr>
        <w:t xml:space="preserve">”, señala que Parques Nacionales Naturales de Colombia puede autorizar la realización de adecuaciones o mejoras sobre las edificaciones existentes al interior de las áreas protegidas, que estén asociadas al uso dotacional comunitario o vivienda rural de población campesina en condición de vulnerabilidad, que hayan suscrito los acuerdos de conservación de que trata el artículo 7 de la Ley 1955 de 2019, y, que no impliquen ampliación sobre las construcciones existentes al </w:t>
      </w:r>
      <w:r>
        <w:rPr>
          <w:rFonts w:ascii="Verdana" w:eastAsia="Verdana" w:hAnsi="Verdana" w:cs="Verdana"/>
          <w:sz w:val="20"/>
          <w:szCs w:val="20"/>
        </w:rPr>
        <w:t xml:space="preserve">interior de las áreas. </w:t>
      </w:r>
    </w:p>
    <w:p w14:paraId="00000062" w14:textId="77777777" w:rsidR="002B2554" w:rsidRDefault="002B2554">
      <w:pPr>
        <w:spacing w:after="0" w:line="240" w:lineRule="auto"/>
        <w:jc w:val="both"/>
        <w:rPr>
          <w:rFonts w:ascii="Verdana" w:eastAsia="Verdana" w:hAnsi="Verdana" w:cs="Verdana"/>
          <w:sz w:val="20"/>
          <w:szCs w:val="20"/>
        </w:rPr>
      </w:pPr>
    </w:p>
    <w:p w14:paraId="00000063"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Así mismo, señala que esta autorización deberá contener las condiciones que garanticen que las adecuaciones o mejoras y el funcionamiento de estas edificaciones no causen deterioro a las áreas protegidas e incluirá los permisos de uso o aprovechamiento de los recursos naturales que se requieran. </w:t>
      </w:r>
    </w:p>
    <w:p w14:paraId="00000064" w14:textId="77777777" w:rsidR="002B2554" w:rsidRDefault="002B2554">
      <w:pPr>
        <w:spacing w:after="0" w:line="240" w:lineRule="auto"/>
        <w:jc w:val="both"/>
        <w:rPr>
          <w:rFonts w:ascii="Verdana" w:eastAsia="Verdana" w:hAnsi="Verdana" w:cs="Verdana"/>
          <w:sz w:val="20"/>
          <w:szCs w:val="20"/>
        </w:rPr>
      </w:pPr>
    </w:p>
    <w:p w14:paraId="00000065" w14:textId="7373C369"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De este modo, la norma es enfática en que </w:t>
      </w:r>
      <w:r>
        <w:rPr>
          <w:rFonts w:ascii="Verdana" w:eastAsia="Verdana" w:hAnsi="Verdana" w:cs="Verdana"/>
          <w:sz w:val="20"/>
          <w:szCs w:val="20"/>
        </w:rPr>
        <w:t xml:space="preserve">la celebración de los acuerdos permitidos por el artículo 7 de la Ley 1955 de 2019 y la autorización para la adecuación o mejoras de la infraestructura al interior de las áreas protegidas contemplada en el artículo 29 de la Ley 2294 de 2023, no implican un cambio en el régimen de propiedad de las áreas ni </w:t>
      </w:r>
      <w:r w:rsidR="004A17E5">
        <w:rPr>
          <w:rFonts w:ascii="Verdana" w:eastAsia="Verdana" w:hAnsi="Verdana" w:cs="Verdana"/>
          <w:sz w:val="20"/>
          <w:szCs w:val="20"/>
        </w:rPr>
        <w:t xml:space="preserve">en </w:t>
      </w:r>
      <w:r>
        <w:rPr>
          <w:rFonts w:ascii="Verdana" w:eastAsia="Verdana" w:hAnsi="Verdana" w:cs="Verdana"/>
          <w:sz w:val="20"/>
          <w:szCs w:val="20"/>
        </w:rPr>
        <w:t>su nivel de protección ambiental. </w:t>
      </w:r>
    </w:p>
    <w:p w14:paraId="00000066" w14:textId="77777777" w:rsidR="002B2554" w:rsidRDefault="002B2554">
      <w:pPr>
        <w:spacing w:after="0" w:line="240" w:lineRule="auto"/>
        <w:jc w:val="both"/>
        <w:rPr>
          <w:rFonts w:ascii="Verdana" w:eastAsia="Verdana" w:hAnsi="Verdana" w:cs="Verdana"/>
          <w:sz w:val="20"/>
          <w:szCs w:val="20"/>
        </w:rPr>
      </w:pPr>
    </w:p>
    <w:p w14:paraId="00000067" w14:textId="3B1C8CE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Por otro lado, el Acto Legislativo 01 de 2023,  expedido por el Congreso de la República, “</w:t>
      </w:r>
      <w:r>
        <w:rPr>
          <w:rFonts w:ascii="Verdana" w:eastAsia="Verdana" w:hAnsi="Verdana" w:cs="Verdana"/>
          <w:i/>
          <w:sz w:val="20"/>
          <w:szCs w:val="20"/>
        </w:rPr>
        <w:t xml:space="preserve">Por medio del cual se reconoce al Campesinado como sujeto de Especial Protección Constitucional”, </w:t>
      </w:r>
      <w:r>
        <w:rPr>
          <w:rFonts w:ascii="Verdana" w:eastAsia="Verdana" w:hAnsi="Verdana" w:cs="Verdana"/>
          <w:sz w:val="20"/>
          <w:szCs w:val="20"/>
        </w:rPr>
        <w:t xml:space="preserve">modificó el Artículo 64 de la Constitución Política, estableciendo que </w:t>
      </w:r>
      <w:r>
        <w:rPr>
          <w:rFonts w:ascii="Verdana" w:eastAsia="Verdana" w:hAnsi="Verdana" w:cs="Verdana"/>
          <w:sz w:val="20"/>
          <w:szCs w:val="20"/>
        </w:rPr>
        <w:t>el campesinado es sujeto de derecho, y tiene un particular relacionamiento con la tierra basado en la producción de alimentos en garantía de la soberanía alimentaria, sus formas de territorialidad campesina, condiciones geográficas, demográficas, organizativas y culturales que lo distingue de otros grupos sociales. </w:t>
      </w:r>
    </w:p>
    <w:p w14:paraId="00000068" w14:textId="77777777" w:rsidR="002B2554" w:rsidRDefault="002B2554">
      <w:pPr>
        <w:spacing w:after="0" w:line="240" w:lineRule="auto"/>
        <w:jc w:val="both"/>
        <w:rPr>
          <w:rFonts w:ascii="Verdana" w:eastAsia="Verdana" w:hAnsi="Verdana" w:cs="Verdana"/>
          <w:sz w:val="20"/>
          <w:szCs w:val="20"/>
        </w:rPr>
      </w:pPr>
    </w:p>
    <w:p w14:paraId="00000069"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este sentido, por mandato expreso de dicha norma, el Estado reconoce la </w:t>
      </w:r>
      <w:r>
        <w:rPr>
          <w:rFonts w:ascii="Verdana" w:eastAsia="Verdana" w:hAnsi="Verdana" w:cs="Verdana"/>
          <w:i/>
          <w:sz w:val="20"/>
          <w:szCs w:val="20"/>
        </w:rPr>
        <w:t>dimensión ambiental del campesinado</w:t>
      </w:r>
      <w:r>
        <w:rPr>
          <w:rFonts w:ascii="Verdana" w:eastAsia="Verdana" w:hAnsi="Verdana" w:cs="Verdana"/>
          <w:sz w:val="20"/>
          <w:szCs w:val="20"/>
        </w:rPr>
        <w:t>, entendida como una relación de dependencia vulnerable entre éste y su entorno</w:t>
      </w:r>
      <w:r>
        <w:rPr>
          <w:rFonts w:ascii="Verdana" w:eastAsia="Verdana" w:hAnsi="Verdana" w:cs="Verdana"/>
          <w:sz w:val="20"/>
          <w:szCs w:val="20"/>
          <w:vertAlign w:val="superscript"/>
        </w:rPr>
        <w:footnoteReference w:id="2"/>
      </w:r>
      <w:r>
        <w:rPr>
          <w:rFonts w:ascii="Verdana" w:eastAsia="Verdana" w:hAnsi="Verdana" w:cs="Verdana"/>
          <w:sz w:val="20"/>
          <w:szCs w:val="20"/>
        </w:rPr>
        <w:t xml:space="preserve">, y, de manera reforzada, debe velar por la protección, respeto y garantía de sus derechos individuales y colectivos, con el objetivo de lograr la igualdad material desde un enfoque de género, etario y territorial. Así mismo, debe garantizar el acceso a bienes y derechos como la vivienda digna, los servicios públicos domiciliarios, vías terciarias, la tierra y el territorio, entre otros. </w:t>
      </w:r>
    </w:p>
    <w:p w14:paraId="0000006A" w14:textId="77777777" w:rsidR="002B2554" w:rsidRDefault="002B2554">
      <w:pPr>
        <w:spacing w:after="0" w:line="240" w:lineRule="auto"/>
        <w:jc w:val="both"/>
        <w:rPr>
          <w:rFonts w:ascii="Verdana" w:eastAsia="Verdana" w:hAnsi="Verdana" w:cs="Verdana"/>
          <w:sz w:val="20"/>
          <w:szCs w:val="20"/>
        </w:rPr>
      </w:pPr>
    </w:p>
    <w:p w14:paraId="5BEC38C4" w14:textId="2F658A2D" w:rsidR="009800DA"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Este recorrido frente a los cambios normativos generados recientemente sobre el régimen legal aplicable a las áreas protegidas da cuenta de la posibilidad que se habilita para Parques Nacionales Naturales </w:t>
      </w:r>
      <w:r w:rsidR="009800DA">
        <w:rPr>
          <w:rFonts w:ascii="Verdana" w:eastAsia="Verdana" w:hAnsi="Verdana" w:cs="Verdana"/>
          <w:sz w:val="20"/>
          <w:szCs w:val="20"/>
        </w:rPr>
        <w:t xml:space="preserve">de Colombia </w:t>
      </w:r>
      <w:r>
        <w:rPr>
          <w:rFonts w:ascii="Verdana" w:eastAsia="Verdana" w:hAnsi="Verdana" w:cs="Verdana"/>
          <w:sz w:val="20"/>
          <w:szCs w:val="20"/>
        </w:rPr>
        <w:t>de ofrecer un mecanismo concreto y viable a los habitantes del Santuario de Fauna y Flora Los Colorados de mejorar su calidad de vida</w:t>
      </w:r>
      <w:r w:rsidR="007432C8">
        <w:rPr>
          <w:rFonts w:ascii="Verdana" w:eastAsia="Verdana" w:hAnsi="Verdana" w:cs="Verdana"/>
          <w:sz w:val="20"/>
          <w:szCs w:val="20"/>
        </w:rPr>
        <w:t xml:space="preserve"> conforme </w:t>
      </w:r>
      <w:r w:rsidR="008D018E">
        <w:rPr>
          <w:rFonts w:ascii="Verdana" w:eastAsia="Verdana" w:hAnsi="Verdana" w:cs="Verdana"/>
          <w:sz w:val="20"/>
          <w:szCs w:val="20"/>
        </w:rPr>
        <w:t>los usos</w:t>
      </w:r>
      <w:r w:rsidR="007A2954">
        <w:rPr>
          <w:rFonts w:ascii="Verdana" w:eastAsia="Verdana" w:hAnsi="Verdana" w:cs="Verdana"/>
          <w:sz w:val="20"/>
          <w:szCs w:val="20"/>
        </w:rPr>
        <w:t xml:space="preserve"> y condiciones que exige el</w:t>
      </w:r>
      <w:r w:rsidR="007432C8">
        <w:rPr>
          <w:rFonts w:ascii="Verdana" w:eastAsia="Verdana" w:hAnsi="Verdana" w:cs="Verdana"/>
          <w:sz w:val="20"/>
          <w:szCs w:val="20"/>
        </w:rPr>
        <w:t xml:space="preserve"> estricto mandato de protección existente</w:t>
      </w:r>
      <w:r>
        <w:rPr>
          <w:rFonts w:ascii="Verdana" w:eastAsia="Verdana" w:hAnsi="Verdana" w:cs="Verdana"/>
          <w:sz w:val="20"/>
          <w:szCs w:val="20"/>
        </w:rPr>
        <w:t>.</w:t>
      </w:r>
    </w:p>
    <w:p w14:paraId="6C6F8CE3" w14:textId="1630D74C" w:rsidR="006C715D" w:rsidRDefault="004F2B40" w:rsidP="006C715D">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En particular, </w:t>
      </w:r>
      <w:r w:rsidR="007E22C0">
        <w:rPr>
          <w:rFonts w:ascii="Verdana" w:eastAsia="Verdana" w:hAnsi="Verdana" w:cs="Verdana"/>
          <w:sz w:val="20"/>
          <w:szCs w:val="20"/>
        </w:rPr>
        <w:t>permite</w:t>
      </w:r>
      <w:r>
        <w:rPr>
          <w:rFonts w:ascii="Verdana" w:eastAsia="Verdana" w:hAnsi="Verdana" w:cs="Verdana"/>
          <w:sz w:val="20"/>
          <w:szCs w:val="20"/>
        </w:rPr>
        <w:t xml:space="preserve"> generar un reconocimiento de esa población como </w:t>
      </w:r>
      <w:r>
        <w:rPr>
          <w:rFonts w:ascii="Verdana" w:eastAsia="Verdana" w:hAnsi="Verdana" w:cs="Verdana"/>
          <w:i/>
          <w:sz w:val="20"/>
          <w:szCs w:val="20"/>
        </w:rPr>
        <w:t>sujetos de especial protección</w:t>
      </w:r>
      <w:r>
        <w:rPr>
          <w:rFonts w:ascii="Verdana" w:eastAsia="Verdana" w:hAnsi="Verdana" w:cs="Verdana"/>
          <w:sz w:val="20"/>
          <w:szCs w:val="20"/>
        </w:rPr>
        <w:t xml:space="preserve">, según sea el caso, </w:t>
      </w:r>
      <w:proofErr w:type="gramStart"/>
      <w:r>
        <w:rPr>
          <w:rFonts w:ascii="Verdana" w:eastAsia="Verdana" w:hAnsi="Verdana" w:cs="Verdana"/>
          <w:sz w:val="20"/>
          <w:szCs w:val="20"/>
        </w:rPr>
        <w:t>y</w:t>
      </w:r>
      <w:proofErr w:type="gramEnd"/>
      <w:r>
        <w:rPr>
          <w:rFonts w:ascii="Verdana" w:eastAsia="Verdana" w:hAnsi="Verdana" w:cs="Verdana"/>
          <w:sz w:val="20"/>
          <w:szCs w:val="20"/>
        </w:rPr>
        <w:t xml:space="preserve"> por lo tanto, materializar unas medidas diferenciadas concretas a través del Plan de Manejo y de la celebración de Acuerdos de Conservación que permita autorizar las adecuaciones y actividades circunscritas al mejoramiento de la infraestructura existente que garanticen esas condiciones de vida digna.</w:t>
      </w:r>
      <w:r w:rsidR="006C715D">
        <w:rPr>
          <w:rFonts w:ascii="Verdana" w:eastAsia="Verdana" w:hAnsi="Verdana" w:cs="Verdana"/>
          <w:sz w:val="20"/>
          <w:szCs w:val="20"/>
        </w:rPr>
        <w:t xml:space="preserve"> </w:t>
      </w:r>
      <w:r w:rsidR="006C715D">
        <w:rPr>
          <w:rFonts w:ascii="Verdana" w:eastAsia="Verdana" w:hAnsi="Verdana" w:cs="Verdana"/>
          <w:sz w:val="20"/>
          <w:szCs w:val="20"/>
        </w:rPr>
        <w:t xml:space="preserve">En este sentido, </w:t>
      </w:r>
      <w:r w:rsidR="006C715D">
        <w:rPr>
          <w:rFonts w:ascii="Verdana" w:eastAsia="Verdana" w:hAnsi="Verdana" w:cs="Verdana"/>
          <w:sz w:val="20"/>
          <w:szCs w:val="20"/>
        </w:rPr>
        <w:t>resulta</w:t>
      </w:r>
      <w:r w:rsidR="006C715D">
        <w:rPr>
          <w:rFonts w:ascii="Verdana" w:eastAsia="Verdana" w:hAnsi="Verdana" w:cs="Verdana"/>
          <w:sz w:val="20"/>
          <w:szCs w:val="20"/>
        </w:rPr>
        <w:t xml:space="preserve"> fundamental la generación de instrumentos que permitan ponderar la protección ambiental del Santuario de Fauna y Flora Los Colorados y los derechos de los habitantes de</w:t>
      </w:r>
      <w:r w:rsidR="00080133">
        <w:rPr>
          <w:rFonts w:ascii="Verdana" w:eastAsia="Verdana" w:hAnsi="Verdana" w:cs="Verdana"/>
          <w:sz w:val="20"/>
          <w:szCs w:val="20"/>
        </w:rPr>
        <w:t>l área</w:t>
      </w:r>
      <w:r w:rsidR="006C715D">
        <w:rPr>
          <w:rFonts w:ascii="Verdana" w:eastAsia="Verdana" w:hAnsi="Verdana" w:cs="Verdana"/>
          <w:sz w:val="20"/>
          <w:szCs w:val="20"/>
        </w:rPr>
        <w:t xml:space="preserve"> protegida dependiendo de las condiciones particulares, excepcionales y concretas</w:t>
      </w:r>
      <w:r w:rsidR="00EF76BD">
        <w:rPr>
          <w:rFonts w:ascii="Verdana" w:eastAsia="Verdana" w:hAnsi="Verdana" w:cs="Verdana"/>
          <w:sz w:val="20"/>
          <w:szCs w:val="20"/>
        </w:rPr>
        <w:t xml:space="preserve"> de la población,</w:t>
      </w:r>
      <w:r w:rsidR="006C715D">
        <w:rPr>
          <w:rFonts w:ascii="Verdana" w:eastAsia="Verdana" w:hAnsi="Verdana" w:cs="Verdana"/>
          <w:sz w:val="20"/>
          <w:szCs w:val="20"/>
        </w:rPr>
        <w:t xml:space="preserve"> como quiera que los derechos fundamentales son universales.  </w:t>
      </w:r>
    </w:p>
    <w:p w14:paraId="545CB36B" w14:textId="0E7CBF67" w:rsidR="00FC21B7" w:rsidRDefault="00FC21B7" w:rsidP="00FC21B7">
      <w:pPr>
        <w:spacing w:after="0" w:line="240" w:lineRule="auto"/>
        <w:jc w:val="both"/>
        <w:rPr>
          <w:rFonts w:ascii="Verdana" w:eastAsia="Verdana" w:hAnsi="Verdana" w:cs="Verdana"/>
          <w:sz w:val="20"/>
          <w:szCs w:val="20"/>
        </w:rPr>
      </w:pPr>
    </w:p>
    <w:p w14:paraId="00000071" w14:textId="77777777" w:rsidR="002B2554" w:rsidRDefault="004F2B40">
      <w:pPr>
        <w:widowControl w:val="0"/>
        <w:spacing w:after="0" w:line="240" w:lineRule="auto"/>
        <w:jc w:val="both"/>
        <w:rPr>
          <w:rFonts w:ascii="Verdana" w:eastAsia="Verdana" w:hAnsi="Verdana" w:cs="Verdana"/>
          <w:b/>
          <w:sz w:val="20"/>
          <w:szCs w:val="20"/>
        </w:rPr>
      </w:pPr>
      <w:r>
        <w:rPr>
          <w:rFonts w:ascii="Verdana" w:eastAsia="Verdana" w:hAnsi="Verdana" w:cs="Verdana"/>
          <w:b/>
          <w:sz w:val="20"/>
          <w:szCs w:val="20"/>
        </w:rPr>
        <w:t>Santuario de Fauna y Flora Los Colorados</w:t>
      </w:r>
    </w:p>
    <w:p w14:paraId="00000072" w14:textId="77777777" w:rsidR="002B2554" w:rsidRDefault="002B2554">
      <w:pPr>
        <w:widowControl w:val="0"/>
        <w:spacing w:after="0" w:line="240" w:lineRule="auto"/>
        <w:jc w:val="both"/>
        <w:rPr>
          <w:rFonts w:ascii="Verdana" w:eastAsia="Verdana" w:hAnsi="Verdana" w:cs="Verdana"/>
          <w:sz w:val="20"/>
          <w:szCs w:val="20"/>
        </w:rPr>
      </w:pPr>
    </w:p>
    <w:p w14:paraId="00000073"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El Acuerdo 28 del 02 de mayo de 1977 de la Junta Directiva del Instituto de Desarrollo de los Recursos Naturales Renovables INDERENA, contando con el concepto favorable de la Academia Colombiana de Ciencias Exactas, Físicas y Naturales, delimitó y reservó un área de mil (1.000) hectáreas de superficie aproximada, denominado Santuario de Fauna y Flora Los Colorados, ubicado en jurisdicción del municipio de San Juan Nepomuceno en el Departamento de Bolívar. </w:t>
      </w:r>
    </w:p>
    <w:p w14:paraId="00000074" w14:textId="77777777" w:rsidR="002B2554" w:rsidRDefault="002B2554">
      <w:pPr>
        <w:widowControl w:val="0"/>
        <w:spacing w:after="0" w:line="240" w:lineRule="auto"/>
        <w:jc w:val="both"/>
        <w:rPr>
          <w:rFonts w:ascii="Verdana" w:eastAsia="Verdana" w:hAnsi="Verdana" w:cs="Verdana"/>
          <w:sz w:val="20"/>
          <w:szCs w:val="20"/>
        </w:rPr>
      </w:pPr>
    </w:p>
    <w:p w14:paraId="00000075" w14:textId="678BEEE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Posteriormente, el Ministerio de Agricultura expidió </w:t>
      </w:r>
      <w:r>
        <w:rPr>
          <w:rFonts w:ascii="Verdana" w:eastAsia="Verdana" w:hAnsi="Verdana" w:cs="Verdana"/>
          <w:sz w:val="20"/>
          <w:szCs w:val="20"/>
        </w:rPr>
        <w:t xml:space="preserve">la Resolución 167 del 06 de junio de 1977 </w:t>
      </w:r>
      <w:r w:rsidR="009249DA">
        <w:rPr>
          <w:rFonts w:ascii="Verdana" w:eastAsia="Verdana" w:hAnsi="Verdana" w:cs="Verdana"/>
          <w:sz w:val="20"/>
          <w:szCs w:val="20"/>
        </w:rPr>
        <w:t xml:space="preserve">con </w:t>
      </w:r>
      <w:r w:rsidR="00363717">
        <w:rPr>
          <w:rFonts w:ascii="Verdana" w:eastAsia="Verdana" w:hAnsi="Verdana" w:cs="Verdana"/>
          <w:sz w:val="20"/>
          <w:szCs w:val="20"/>
        </w:rPr>
        <w:t>la cual</w:t>
      </w:r>
      <w:r>
        <w:rPr>
          <w:rFonts w:ascii="Verdana" w:eastAsia="Verdana" w:hAnsi="Verdana" w:cs="Verdana"/>
          <w:sz w:val="20"/>
          <w:szCs w:val="20"/>
        </w:rPr>
        <w:t xml:space="preserve"> aprobó el Acuerdo 28 del 02 de mayo, publicada en el Diario Oficial No. 34.811 del 23 de junio de 1977</w:t>
      </w:r>
      <w:r w:rsidR="009249DA">
        <w:rPr>
          <w:rFonts w:ascii="Verdana" w:eastAsia="Verdana" w:hAnsi="Verdana" w:cs="Verdana"/>
          <w:sz w:val="20"/>
          <w:szCs w:val="20"/>
        </w:rPr>
        <w:t xml:space="preserve">. </w:t>
      </w:r>
    </w:p>
    <w:p w14:paraId="00000076" w14:textId="77777777" w:rsidR="002B2554" w:rsidRDefault="002B2554">
      <w:pPr>
        <w:widowControl w:val="0"/>
        <w:spacing w:after="0" w:line="240" w:lineRule="auto"/>
        <w:jc w:val="both"/>
        <w:rPr>
          <w:rFonts w:ascii="Verdana" w:eastAsia="Verdana" w:hAnsi="Verdana" w:cs="Verdana"/>
          <w:sz w:val="20"/>
          <w:szCs w:val="20"/>
        </w:rPr>
      </w:pPr>
    </w:p>
    <w:p w14:paraId="6D3FA82A" w14:textId="42B1A964" w:rsidR="00363717" w:rsidRDefault="004F2B40" w:rsidP="00700173">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Dicha declaratoria se produjo incluyendo territorialmente dentro del Santuario, dos (2) barrios consolidados denominados Palmira y Nueva Floresta, cuyo asentamiento se dice por parte de sus pobladores era previo</w:t>
      </w:r>
      <w:r w:rsidR="00533818">
        <w:rPr>
          <w:rFonts w:ascii="Verdana" w:eastAsia="Verdana" w:hAnsi="Verdana" w:cs="Verdana"/>
          <w:sz w:val="20"/>
          <w:szCs w:val="20"/>
        </w:rPr>
        <w:t xml:space="preserve"> a la declaratoria del área</w:t>
      </w:r>
      <w:r w:rsidR="005A4798">
        <w:rPr>
          <w:rFonts w:ascii="Verdana" w:eastAsia="Verdana" w:hAnsi="Verdana" w:cs="Verdana"/>
          <w:sz w:val="20"/>
          <w:szCs w:val="20"/>
        </w:rPr>
        <w:t>. Al respecto, e</w:t>
      </w:r>
      <w:r w:rsidR="00363717">
        <w:rPr>
          <w:rFonts w:ascii="Verdana" w:eastAsia="Verdana" w:hAnsi="Verdana" w:cs="Verdana"/>
          <w:sz w:val="20"/>
          <w:szCs w:val="20"/>
        </w:rPr>
        <w:t>s importante mencionar que los habitantes de los Barrios Palmira y Nueva Floresta en el municipio de San Juan Nepomuceno manifiestan que estos se encontraban materialmente constituidos y consolidados de manera previa a la expedición del Acuerdo No. 28 del 02 de mayo de 1977 con el cual se reservó, alinderó y declaró el Santuario de Fauna y Flora Los Colorados.</w:t>
      </w:r>
    </w:p>
    <w:p w14:paraId="3E23527D" w14:textId="77777777" w:rsidR="00363717" w:rsidRDefault="00363717" w:rsidP="00363717">
      <w:pPr>
        <w:spacing w:after="0" w:line="240" w:lineRule="auto"/>
        <w:jc w:val="both"/>
        <w:rPr>
          <w:rFonts w:ascii="Verdana" w:eastAsia="Verdana" w:hAnsi="Verdana" w:cs="Verdana"/>
          <w:sz w:val="20"/>
          <w:szCs w:val="20"/>
        </w:rPr>
      </w:pPr>
    </w:p>
    <w:p w14:paraId="0000007B" w14:textId="5C4E50FB"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Al respecto y conforme a la caracterización adelantada en el año 2025 por el Área Protegida, el barrio Palmira cuenta con 50 predios, </w:t>
      </w:r>
      <w:r w:rsidRPr="00964270">
        <w:rPr>
          <w:rFonts w:ascii="Verdana" w:eastAsia="Verdana" w:hAnsi="Verdana" w:cs="Verdana"/>
          <w:sz w:val="20"/>
          <w:szCs w:val="20"/>
          <w:shd w:val="clear" w:color="auto" w:fill="FFFFFF" w:themeFill="background1"/>
        </w:rPr>
        <w:t>donde los servicios públicos de acueducto, energía eléctrica y gas domiciliario están disponibles</w:t>
      </w:r>
      <w:r w:rsidRPr="00964270">
        <w:rPr>
          <w:rFonts w:ascii="Verdana" w:eastAsia="Verdana" w:hAnsi="Verdana" w:cs="Verdana"/>
          <w:sz w:val="20"/>
          <w:szCs w:val="20"/>
          <w:shd w:val="clear" w:color="auto" w:fill="FFFFFF" w:themeFill="background1"/>
        </w:rPr>
        <w:t xml:space="preserve"> mediante conexiones a las redes</w:t>
      </w:r>
      <w:r w:rsidRPr="00964270">
        <w:rPr>
          <w:rFonts w:ascii="Verdana" w:eastAsia="Verdana" w:hAnsi="Verdana" w:cs="Verdana"/>
          <w:sz w:val="20"/>
          <w:szCs w:val="20"/>
          <w:shd w:val="clear" w:color="auto" w:fill="FFFFFF" w:themeFill="background1"/>
        </w:rPr>
        <w:t>.</w:t>
      </w:r>
      <w:r w:rsidRPr="00964270">
        <w:rPr>
          <w:rFonts w:ascii="Verdana" w:eastAsia="Verdana" w:hAnsi="Verdana" w:cs="Verdana"/>
          <w:sz w:val="20"/>
          <w:szCs w:val="20"/>
        </w:rPr>
        <w:t xml:space="preserve"> En contraste, el barrio Nueva Floresta, con un total de 83 predios, cuenta con conexión a la red de acueducto en todo el barrio, y desde junio</w:t>
      </w:r>
      <w:r>
        <w:rPr>
          <w:rFonts w:ascii="Verdana" w:eastAsia="Verdana" w:hAnsi="Verdana" w:cs="Verdana"/>
          <w:sz w:val="20"/>
          <w:szCs w:val="20"/>
        </w:rPr>
        <w:t xml:space="preserve"> de 2025, las viviendas que se encuentran al interior del barrio disponen del servicio de energía eléctrica, lo que permite que actualmente todo el barrio cuente con dicho servicio. No obstante, aún persiste la ausencia de suministro de gas domiciliario en las viviendas que se encuentran al interior del barrio.</w:t>
      </w:r>
    </w:p>
    <w:p w14:paraId="7482C3E2" w14:textId="77777777" w:rsidR="00DD46F1" w:rsidRDefault="00DD46F1">
      <w:pPr>
        <w:widowControl w:val="0"/>
        <w:spacing w:after="0" w:line="240" w:lineRule="auto"/>
        <w:jc w:val="both"/>
        <w:rPr>
          <w:rFonts w:ascii="Verdana" w:eastAsia="Verdana" w:hAnsi="Verdana" w:cs="Verdana"/>
          <w:sz w:val="20"/>
          <w:szCs w:val="20"/>
        </w:rPr>
      </w:pPr>
    </w:p>
    <w:p w14:paraId="0000007C" w14:textId="67965FD3"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la actualidad, la zona donde se encuentran ubicados los barrios Palmira y Nueva Floresta, junto con el asentamiento el </w:t>
      </w:r>
      <w:r w:rsidRPr="00DD46F1">
        <w:rPr>
          <w:rFonts w:ascii="Verdana" w:eastAsia="Verdana" w:hAnsi="Verdana" w:cs="Verdana"/>
          <w:sz w:val="20"/>
          <w:szCs w:val="20"/>
        </w:rPr>
        <w:t>Cerrito</w:t>
      </w:r>
      <w:r w:rsidR="00DD46F1" w:rsidRPr="00DD46F1">
        <w:rPr>
          <w:rFonts w:ascii="Verdana" w:eastAsia="Verdana" w:hAnsi="Verdana" w:cs="Verdana"/>
          <w:sz w:val="20"/>
          <w:szCs w:val="20"/>
        </w:rPr>
        <w:t xml:space="preserve"> </w:t>
      </w:r>
      <w:r w:rsidRPr="00DD46F1">
        <w:rPr>
          <w:rFonts w:ascii="Verdana" w:eastAsia="Verdana" w:hAnsi="Verdana" w:cs="Verdana"/>
          <w:sz w:val="20"/>
          <w:szCs w:val="20"/>
        </w:rPr>
        <w:t>2</w:t>
      </w:r>
      <w:r w:rsidR="00363717" w:rsidRPr="00DD46F1">
        <w:rPr>
          <w:rFonts w:ascii="Verdana" w:eastAsia="Verdana" w:hAnsi="Verdana" w:cs="Verdana"/>
          <w:sz w:val="20"/>
          <w:szCs w:val="20"/>
        </w:rPr>
        <w:t xml:space="preserve"> </w:t>
      </w:r>
      <w:r w:rsidRPr="00DD46F1">
        <w:rPr>
          <w:rFonts w:ascii="Verdana" w:eastAsia="Verdana" w:hAnsi="Verdana" w:cs="Verdana"/>
          <w:sz w:val="20"/>
          <w:szCs w:val="20"/>
        </w:rPr>
        <w:t>equivale</w:t>
      </w:r>
      <w:r w:rsidRPr="00DD46F1">
        <w:rPr>
          <w:rFonts w:ascii="Verdana" w:eastAsia="Verdana" w:hAnsi="Verdana" w:cs="Verdana"/>
          <w:sz w:val="20"/>
          <w:szCs w:val="20"/>
        </w:rPr>
        <w:t xml:space="preserve"> </w:t>
      </w:r>
      <w:r>
        <w:rPr>
          <w:rFonts w:ascii="Verdana" w:eastAsia="Verdana" w:hAnsi="Verdana" w:cs="Verdana"/>
          <w:sz w:val="20"/>
          <w:szCs w:val="20"/>
        </w:rPr>
        <w:t xml:space="preserve">al 0,9% del área total del Santuario. </w:t>
      </w:r>
    </w:p>
    <w:p w14:paraId="0000007D" w14:textId="77777777" w:rsidR="002B2554" w:rsidRDefault="002B2554">
      <w:pPr>
        <w:widowControl w:val="0"/>
        <w:spacing w:after="0" w:line="240" w:lineRule="auto"/>
        <w:jc w:val="both"/>
        <w:rPr>
          <w:rFonts w:ascii="Verdana" w:eastAsia="Verdana" w:hAnsi="Verdana" w:cs="Verdana"/>
          <w:sz w:val="20"/>
          <w:szCs w:val="20"/>
        </w:rPr>
      </w:pPr>
    </w:p>
    <w:p w14:paraId="0000007E"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Sin embargo, de la delimitación que se realizó del Santuario en el parágrafo del Artículo 1 del Acuerdo 28 del 02 de mayo de 1977, se excluyó la superficie ocupada en ese entonces por el señor Misael Rondón Domínguez </w:t>
      </w:r>
      <w:r>
        <w:rPr>
          <w:rFonts w:ascii="Verdana" w:eastAsia="Verdana" w:hAnsi="Verdana" w:cs="Verdana"/>
          <w:i/>
          <w:sz w:val="20"/>
          <w:szCs w:val="20"/>
        </w:rPr>
        <w:t>“en el sector noreste y que colinda con la carretera y el arroyo Salvador junto al perímetro urbano de la cabecera municipal de San Juan Nepomuceno”.</w:t>
      </w:r>
      <w:r>
        <w:rPr>
          <w:rFonts w:ascii="Verdana" w:eastAsia="Verdana" w:hAnsi="Verdana" w:cs="Verdana"/>
          <w:sz w:val="20"/>
          <w:szCs w:val="20"/>
        </w:rPr>
        <w:t xml:space="preserve"> </w:t>
      </w:r>
    </w:p>
    <w:p w14:paraId="00000080" w14:textId="2E33509B" w:rsidR="002B2554" w:rsidRPr="00A71FEB"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lastRenderedPageBreak/>
        <w:t xml:space="preserve">En el caso concreto, </w:t>
      </w:r>
      <w:r>
        <w:rPr>
          <w:rFonts w:ascii="Verdana" w:eastAsia="Verdana" w:hAnsi="Verdana" w:cs="Verdana"/>
          <w:sz w:val="20"/>
          <w:szCs w:val="20"/>
        </w:rPr>
        <w:t xml:space="preserve">a la luz de la primacía de los derechos fundamentales, de la salvaguardia de la dignidad humana como principio, valor y derecho fundamental, de facilitar unas condiciones materiales mínimas que garanticen una existencia digna, y de la aplicación de un </w:t>
      </w:r>
      <w:r>
        <w:rPr>
          <w:rFonts w:ascii="Verdana" w:eastAsia="Verdana" w:hAnsi="Verdana" w:cs="Verdana"/>
          <w:i/>
          <w:sz w:val="20"/>
          <w:szCs w:val="20"/>
        </w:rPr>
        <w:t>enfoque</w:t>
      </w:r>
      <w:r w:rsidR="0051623C">
        <w:rPr>
          <w:rFonts w:ascii="Verdana" w:eastAsia="Verdana" w:hAnsi="Verdana" w:cs="Verdana"/>
          <w:i/>
          <w:sz w:val="20"/>
          <w:szCs w:val="20"/>
        </w:rPr>
        <w:t xml:space="preserve"> </w:t>
      </w:r>
      <w:r>
        <w:rPr>
          <w:rFonts w:ascii="Verdana" w:eastAsia="Verdana" w:hAnsi="Verdana" w:cs="Verdana"/>
          <w:i/>
          <w:sz w:val="20"/>
          <w:szCs w:val="20"/>
        </w:rPr>
        <w:t>diferencial,</w:t>
      </w:r>
      <w:r>
        <w:rPr>
          <w:rFonts w:ascii="Verdana" w:eastAsia="Verdana" w:hAnsi="Verdana" w:cs="Verdana"/>
          <w:sz w:val="20"/>
          <w:szCs w:val="20"/>
        </w:rPr>
        <w:t xml:space="preserve"> esta Entidad comprende la necesidad de adoptar medidas afirmativas para armonizar la presencia humana al interior de las áreas protegidas y su protección ambiental</w:t>
      </w:r>
      <w:r w:rsidRPr="0085284C">
        <w:rPr>
          <w:rFonts w:ascii="Verdana" w:eastAsia="Verdana" w:hAnsi="Verdana" w:cs="Verdana"/>
          <w:sz w:val="20"/>
          <w:szCs w:val="20"/>
        </w:rPr>
        <w:t xml:space="preserve">, </w:t>
      </w:r>
      <w:sdt>
        <w:sdtPr>
          <w:tag w:val="goog_rdk_2"/>
          <w:id w:val="-1031575992"/>
        </w:sdtPr>
        <w:sdtEndPr/>
        <w:sdtContent/>
      </w:sdt>
      <w:r w:rsidR="0085284C" w:rsidRPr="0085284C">
        <w:rPr>
          <w:rFonts w:ascii="Verdana" w:eastAsia="Verdana" w:hAnsi="Verdana" w:cs="Verdana"/>
          <w:sz w:val="20"/>
          <w:szCs w:val="20"/>
        </w:rPr>
        <w:t>sin perjuicio</w:t>
      </w:r>
      <w:r w:rsidRPr="0085284C">
        <w:rPr>
          <w:rFonts w:ascii="Verdana" w:eastAsia="Verdana" w:hAnsi="Verdana" w:cs="Verdana"/>
          <w:sz w:val="20"/>
          <w:szCs w:val="20"/>
        </w:rPr>
        <w:t xml:space="preserve"> </w:t>
      </w:r>
      <w:r>
        <w:rPr>
          <w:rFonts w:ascii="Verdana" w:eastAsia="Verdana" w:hAnsi="Verdana" w:cs="Verdana"/>
          <w:sz w:val="20"/>
          <w:szCs w:val="20"/>
        </w:rPr>
        <w:t xml:space="preserve">de los objetivos de conservación del país y de su régimen </w:t>
      </w:r>
      <w:r w:rsidR="0051623C">
        <w:rPr>
          <w:rFonts w:ascii="Verdana" w:eastAsia="Verdana" w:hAnsi="Verdana" w:cs="Verdana"/>
          <w:sz w:val="20"/>
          <w:szCs w:val="20"/>
        </w:rPr>
        <w:t xml:space="preserve">especial </w:t>
      </w:r>
      <w:r>
        <w:rPr>
          <w:rFonts w:ascii="Verdana" w:eastAsia="Verdana" w:hAnsi="Verdana" w:cs="Verdana"/>
          <w:sz w:val="20"/>
          <w:szCs w:val="20"/>
        </w:rPr>
        <w:t xml:space="preserve">de manejo, en cumplimiento de los artículos 7 de la Ley 1955 de 2019 y 29 de la Ley </w:t>
      </w:r>
      <w:r w:rsidRPr="00A71FEB">
        <w:rPr>
          <w:rFonts w:ascii="Verdana" w:eastAsia="Verdana" w:hAnsi="Verdana" w:cs="Verdana"/>
          <w:sz w:val="20"/>
          <w:szCs w:val="20"/>
        </w:rPr>
        <w:t xml:space="preserve">2294 de 2023, aplicados en concreto a través del </w:t>
      </w:r>
      <w:r w:rsidRPr="00A71FEB">
        <w:rPr>
          <w:rFonts w:ascii="Verdana" w:eastAsia="Verdana" w:hAnsi="Verdana" w:cs="Verdana"/>
          <w:sz w:val="20"/>
          <w:szCs w:val="20"/>
        </w:rPr>
        <w:t xml:space="preserve">Plan de Manejo </w:t>
      </w:r>
      <w:r w:rsidR="0051623C" w:rsidRPr="00A71FEB">
        <w:rPr>
          <w:rFonts w:ascii="Verdana" w:eastAsia="Verdana" w:hAnsi="Verdana" w:cs="Verdana"/>
          <w:sz w:val="20"/>
          <w:szCs w:val="20"/>
        </w:rPr>
        <w:t xml:space="preserve">actualizado </w:t>
      </w:r>
      <w:r w:rsidRPr="00A71FEB">
        <w:rPr>
          <w:rFonts w:ascii="Verdana" w:eastAsia="Verdana" w:hAnsi="Verdana" w:cs="Verdana"/>
          <w:sz w:val="20"/>
          <w:szCs w:val="20"/>
        </w:rPr>
        <w:t xml:space="preserve">del Santuario </w:t>
      </w:r>
      <w:r w:rsidRPr="00A71FEB">
        <w:rPr>
          <w:rFonts w:ascii="Verdana" w:eastAsia="Verdana" w:hAnsi="Verdana" w:cs="Verdana"/>
          <w:sz w:val="20"/>
          <w:szCs w:val="20"/>
        </w:rPr>
        <w:t xml:space="preserve">de Fauna y Flora Los Colorados. </w:t>
      </w:r>
    </w:p>
    <w:p w14:paraId="00000081" w14:textId="77777777" w:rsidR="002B2554" w:rsidRDefault="002B2554">
      <w:pPr>
        <w:spacing w:after="0" w:line="240" w:lineRule="auto"/>
        <w:jc w:val="both"/>
        <w:rPr>
          <w:rFonts w:ascii="Verdana" w:eastAsia="Verdana" w:hAnsi="Verdana" w:cs="Verdana"/>
          <w:sz w:val="20"/>
          <w:szCs w:val="20"/>
        </w:rPr>
      </w:pPr>
    </w:p>
    <w:p w14:paraId="00000082"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Al respecto, señala la Corte Constitucional en la Sentencia T-282 de 2012, Magistrado Ponente Juan Carlos Henao:</w:t>
      </w:r>
    </w:p>
    <w:p w14:paraId="00000083" w14:textId="77777777" w:rsidR="002B2554" w:rsidRPr="00B2377E" w:rsidRDefault="004F2B40">
      <w:pPr>
        <w:widowControl w:val="0"/>
        <w:spacing w:after="0" w:line="240" w:lineRule="auto"/>
        <w:jc w:val="both"/>
        <w:rPr>
          <w:rFonts w:ascii="Verdana" w:eastAsia="Verdana" w:hAnsi="Verdana" w:cs="Verdana"/>
          <w:sz w:val="24"/>
          <w:szCs w:val="24"/>
        </w:rPr>
      </w:pPr>
      <w:r>
        <w:rPr>
          <w:rFonts w:ascii="Verdana" w:eastAsia="Verdana" w:hAnsi="Verdana" w:cs="Verdana"/>
          <w:sz w:val="20"/>
          <w:szCs w:val="20"/>
        </w:rPr>
        <w:t xml:space="preserve"> </w:t>
      </w:r>
    </w:p>
    <w:p w14:paraId="00000084" w14:textId="58410049" w:rsidR="002B2554" w:rsidRDefault="004F2B40">
      <w:pPr>
        <w:widowControl w:val="0"/>
        <w:tabs>
          <w:tab w:val="left" w:pos="426"/>
        </w:tabs>
        <w:spacing w:after="0" w:line="240" w:lineRule="auto"/>
        <w:ind w:left="426" w:right="283"/>
        <w:jc w:val="both"/>
        <w:rPr>
          <w:rFonts w:ascii="Verdana" w:eastAsia="Verdana" w:hAnsi="Verdana" w:cs="Verdana"/>
          <w:i/>
          <w:sz w:val="20"/>
          <w:szCs w:val="20"/>
        </w:rPr>
      </w:pPr>
      <w:r>
        <w:rPr>
          <w:rFonts w:ascii="Verdana" w:eastAsia="Verdana" w:hAnsi="Verdana" w:cs="Verdana"/>
          <w:i/>
          <w:sz w:val="20"/>
          <w:szCs w:val="20"/>
        </w:rPr>
        <w:t>“Como quiera que los parques naturales no sólo se integran por áreas de propiedad pública, sino también privada, (…),</w:t>
      </w:r>
      <w:r>
        <w:rPr>
          <w:rFonts w:ascii="Verdana" w:eastAsia="Verdana" w:hAnsi="Verdana" w:cs="Verdana"/>
          <w:b/>
          <w:i/>
          <w:sz w:val="20"/>
          <w:szCs w:val="20"/>
        </w:rPr>
        <w:t xml:space="preserve"> las autoridades competentes deben cumplir sus funciones teniendo en cuenta el imperativo de protección ambiental derivado del sistema, </w:t>
      </w:r>
      <w:r>
        <w:rPr>
          <w:rFonts w:ascii="Verdana" w:eastAsia="Verdana" w:hAnsi="Verdana" w:cs="Verdana"/>
          <w:b/>
          <w:i/>
          <w:sz w:val="20"/>
          <w:szCs w:val="20"/>
          <w:u w:val="single"/>
        </w:rPr>
        <w:t>así como</w:t>
      </w:r>
      <w:r>
        <w:rPr>
          <w:rFonts w:ascii="Verdana" w:eastAsia="Verdana" w:hAnsi="Verdana" w:cs="Verdana"/>
          <w:b/>
          <w:i/>
          <w:sz w:val="20"/>
          <w:szCs w:val="20"/>
        </w:rPr>
        <w:t xml:space="preserve"> los derechos de tales grupos e individuos</w:t>
      </w:r>
      <w:r>
        <w:rPr>
          <w:rFonts w:ascii="Verdana" w:eastAsia="Verdana" w:hAnsi="Verdana" w:cs="Verdana"/>
          <w:i/>
          <w:sz w:val="20"/>
          <w:szCs w:val="20"/>
        </w:rPr>
        <w:t xml:space="preserve">. (…) Y con relación a las actividades que desarrollen los particulares en uso de sus títulos legítimos de propiedad deberá la autoridad ambiental competente, </w:t>
      </w:r>
      <w:r>
        <w:rPr>
          <w:rFonts w:ascii="Verdana" w:eastAsia="Verdana" w:hAnsi="Verdana" w:cs="Verdana"/>
          <w:i/>
          <w:sz w:val="20"/>
          <w:szCs w:val="20"/>
          <w:u w:val="single"/>
        </w:rPr>
        <w:t>regular y limitar las actividades u obras que se puedan desarrollar como consecuencia de tales derechos</w:t>
      </w:r>
      <w:r>
        <w:rPr>
          <w:rFonts w:ascii="Verdana" w:eastAsia="Verdana" w:hAnsi="Verdana" w:cs="Verdana"/>
          <w:i/>
          <w:sz w:val="20"/>
          <w:szCs w:val="20"/>
        </w:rPr>
        <w:t>, a fin de hacerlas coherentes con las necesidades ecológicas qu</w:t>
      </w:r>
      <w:r>
        <w:rPr>
          <w:rFonts w:ascii="Verdana" w:eastAsia="Verdana" w:hAnsi="Verdana" w:cs="Verdana"/>
          <w:i/>
          <w:sz w:val="20"/>
          <w:szCs w:val="20"/>
        </w:rPr>
        <w:t xml:space="preserve">e justifican los parques naturales”. </w:t>
      </w:r>
      <w:r>
        <w:rPr>
          <w:rFonts w:ascii="Verdana" w:eastAsia="Verdana" w:hAnsi="Verdana" w:cs="Verdana"/>
          <w:i/>
          <w:sz w:val="20"/>
          <w:szCs w:val="20"/>
        </w:rPr>
        <w:t xml:space="preserve">(Resaltado fuera del texto) </w:t>
      </w:r>
    </w:p>
    <w:p w14:paraId="00000085" w14:textId="77777777" w:rsidR="002B2554" w:rsidRDefault="002B2554">
      <w:pPr>
        <w:widowControl w:val="0"/>
        <w:spacing w:after="0" w:line="240" w:lineRule="auto"/>
        <w:jc w:val="both"/>
        <w:rPr>
          <w:rFonts w:ascii="Verdana" w:eastAsia="Verdana" w:hAnsi="Verdana" w:cs="Verdana"/>
          <w:i/>
          <w:sz w:val="20"/>
          <w:szCs w:val="20"/>
        </w:rPr>
      </w:pPr>
    </w:p>
    <w:p w14:paraId="32F6EE48" w14:textId="77777777" w:rsidR="00B2377E" w:rsidRDefault="00B2377E">
      <w:pPr>
        <w:widowControl w:val="0"/>
        <w:spacing w:after="0" w:line="240" w:lineRule="auto"/>
        <w:jc w:val="both"/>
        <w:rPr>
          <w:rFonts w:ascii="Verdana" w:eastAsia="Verdana" w:hAnsi="Verdana" w:cs="Verdana"/>
          <w:sz w:val="20"/>
          <w:szCs w:val="20"/>
        </w:rPr>
      </w:pPr>
    </w:p>
    <w:p w14:paraId="00000086" w14:textId="70E597A1"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En concordancia con esta interpretación, la Sentencia T-806 de 2014 de la misma autoridad judicial</w:t>
      </w:r>
      <w:r w:rsidR="001B6B31">
        <w:rPr>
          <w:rFonts w:ascii="Verdana" w:eastAsia="Verdana" w:hAnsi="Verdana" w:cs="Verdana"/>
          <w:sz w:val="20"/>
          <w:szCs w:val="20"/>
        </w:rPr>
        <w:t xml:space="preserve">, ponencia del Magistrado Jorge Iván Palacio Palacio, </w:t>
      </w:r>
      <w:r>
        <w:rPr>
          <w:rFonts w:ascii="Verdana" w:eastAsia="Verdana" w:hAnsi="Verdana" w:cs="Verdana"/>
          <w:sz w:val="20"/>
          <w:szCs w:val="20"/>
        </w:rPr>
        <w:t xml:space="preserve">estableció el deber de armonización entre dos derechos o principios constitucionales que se encuentren en tensión, en ese caso, el derecho a la educación y el derecho al medio ambiente sano en el Parque Nacional Natural Tinigua, señalando que resulta desproporcionado anular por completo un derecho sobre el otro, y enfatiza: </w:t>
      </w:r>
    </w:p>
    <w:p w14:paraId="473900EE" w14:textId="77777777" w:rsidR="00B2377E" w:rsidRDefault="00B2377E">
      <w:pPr>
        <w:widowControl w:val="0"/>
        <w:spacing w:after="0" w:line="240" w:lineRule="auto"/>
        <w:jc w:val="both"/>
        <w:rPr>
          <w:rFonts w:ascii="Verdana" w:eastAsia="Verdana" w:hAnsi="Verdana" w:cs="Verdana"/>
          <w:sz w:val="20"/>
          <w:szCs w:val="20"/>
        </w:rPr>
      </w:pPr>
    </w:p>
    <w:p w14:paraId="00000087" w14:textId="77777777" w:rsidR="002B2554" w:rsidRDefault="002B2554">
      <w:pPr>
        <w:widowControl w:val="0"/>
        <w:spacing w:after="0" w:line="240" w:lineRule="auto"/>
        <w:jc w:val="both"/>
        <w:rPr>
          <w:rFonts w:ascii="Verdana" w:eastAsia="Verdana" w:hAnsi="Verdana" w:cs="Verdana"/>
          <w:sz w:val="20"/>
          <w:szCs w:val="20"/>
        </w:rPr>
      </w:pPr>
    </w:p>
    <w:p w14:paraId="00000088" w14:textId="77777777" w:rsidR="002B2554" w:rsidRDefault="004F2B40">
      <w:pPr>
        <w:widowControl w:val="0"/>
        <w:spacing w:after="0" w:line="240" w:lineRule="auto"/>
        <w:ind w:left="426" w:right="283"/>
        <w:jc w:val="both"/>
        <w:rPr>
          <w:rFonts w:ascii="Verdana" w:eastAsia="Verdana" w:hAnsi="Verdana" w:cs="Verdana"/>
          <w:i/>
          <w:sz w:val="20"/>
          <w:szCs w:val="20"/>
        </w:rPr>
      </w:pPr>
      <w:r>
        <w:rPr>
          <w:rFonts w:ascii="Verdana" w:eastAsia="Verdana" w:hAnsi="Verdana" w:cs="Verdana"/>
          <w:i/>
          <w:sz w:val="20"/>
          <w:szCs w:val="20"/>
        </w:rPr>
        <w:t xml:space="preserve">“(…) cuando se presentan conflictos entre derechos para llegar a su solución se hace necesaria la armonización concreta de las normas constitucionales enfrentadas. Donde el principio de armonización concreta impide que se busque la efectividad de un derecho mediante el sacrificio o restricción de otro. (…) El ejercicio de armonización busca asegurar el goce efectivo de ambos derechos fundamentales. </w:t>
      </w:r>
      <w:r w:rsidRPr="004478C8">
        <w:rPr>
          <w:rFonts w:ascii="Verdana" w:eastAsia="Verdana" w:hAnsi="Verdana" w:cs="Verdana"/>
          <w:b/>
          <w:bCs/>
          <w:i/>
          <w:sz w:val="20"/>
          <w:szCs w:val="20"/>
        </w:rPr>
        <w:t>Esto significa que las restricciones que hayan de imponerse, según el caso, no pueden entenderse como la permisión de anular por completo la protección de alguno de los derechos involucrados</w:t>
      </w:r>
      <w:r>
        <w:rPr>
          <w:rFonts w:ascii="Verdana" w:eastAsia="Verdana" w:hAnsi="Verdana" w:cs="Verdana"/>
          <w:i/>
          <w:sz w:val="20"/>
          <w:szCs w:val="20"/>
        </w:rPr>
        <w:t>” (Corte Constitucional, T-806/14, Magistrado Ponente Jorge Iván Palacio)</w:t>
      </w:r>
    </w:p>
    <w:p w14:paraId="00000089" w14:textId="77777777" w:rsidR="002B2554" w:rsidRDefault="002B2554">
      <w:pPr>
        <w:widowControl w:val="0"/>
        <w:spacing w:after="0" w:line="240" w:lineRule="auto"/>
        <w:jc w:val="both"/>
        <w:rPr>
          <w:rFonts w:ascii="Verdana" w:eastAsia="Verdana" w:hAnsi="Verdana" w:cs="Verdana"/>
          <w:sz w:val="20"/>
          <w:szCs w:val="20"/>
        </w:rPr>
      </w:pPr>
    </w:p>
    <w:p w14:paraId="0000008A" w14:textId="77777777" w:rsidR="002B2554" w:rsidRDefault="002B2554">
      <w:pPr>
        <w:widowControl w:val="0"/>
        <w:spacing w:after="0" w:line="240" w:lineRule="auto"/>
        <w:jc w:val="both"/>
        <w:rPr>
          <w:rFonts w:ascii="Verdana" w:eastAsia="Verdana" w:hAnsi="Verdana" w:cs="Verdana"/>
          <w:sz w:val="20"/>
          <w:szCs w:val="20"/>
        </w:rPr>
      </w:pPr>
    </w:p>
    <w:p w14:paraId="0000008B" w14:textId="77777777" w:rsidR="002B2554" w:rsidRDefault="004F2B40">
      <w:pPr>
        <w:widowControl w:val="0"/>
        <w:spacing w:after="0" w:line="240" w:lineRule="auto"/>
        <w:jc w:val="both"/>
        <w:rPr>
          <w:rFonts w:ascii="Verdana" w:eastAsia="Verdana" w:hAnsi="Verdana" w:cs="Verdana"/>
          <w:b/>
          <w:sz w:val="20"/>
          <w:szCs w:val="20"/>
        </w:rPr>
      </w:pPr>
      <w:r>
        <w:rPr>
          <w:rFonts w:ascii="Verdana" w:eastAsia="Verdana" w:hAnsi="Verdana" w:cs="Verdana"/>
          <w:sz w:val="20"/>
          <w:szCs w:val="20"/>
        </w:rPr>
        <w:t xml:space="preserve">En este sentido, corresponde en el manejo y administración de las áreas protegidas propender por la armonización tanto de un interés como del otro, en el entendido que, la autoridad ambiental debe dar cabal cumplimiento a sus deberes y competencias, según lo ordena la legislación, en concreto, la conservación y protección ambiental, sin ir en contra de los principios constitucionales igualmente aplicables, y sin detrimento o vulneración de derechos fundamentales. </w:t>
      </w:r>
    </w:p>
    <w:p w14:paraId="0000008C" w14:textId="77777777" w:rsidR="002B2554" w:rsidRDefault="002B2554">
      <w:pPr>
        <w:widowControl w:val="0"/>
        <w:spacing w:after="0" w:line="240" w:lineRule="auto"/>
        <w:jc w:val="both"/>
        <w:rPr>
          <w:rFonts w:ascii="Verdana" w:eastAsia="Verdana" w:hAnsi="Verdana" w:cs="Verdana"/>
          <w:b/>
          <w:sz w:val="20"/>
          <w:szCs w:val="20"/>
        </w:rPr>
      </w:pPr>
    </w:p>
    <w:p w14:paraId="0648FE90" w14:textId="77777777" w:rsidR="0029610D" w:rsidRDefault="0029610D">
      <w:pPr>
        <w:widowControl w:val="0"/>
        <w:spacing w:after="0" w:line="240" w:lineRule="auto"/>
        <w:jc w:val="both"/>
        <w:rPr>
          <w:rFonts w:ascii="Verdana" w:eastAsia="Verdana" w:hAnsi="Verdana" w:cs="Verdana"/>
          <w:b/>
          <w:sz w:val="20"/>
          <w:szCs w:val="20"/>
        </w:rPr>
      </w:pPr>
    </w:p>
    <w:p w14:paraId="0000008D" w14:textId="125EDE7C" w:rsidR="002B2554" w:rsidRDefault="004F2B40">
      <w:pPr>
        <w:widowControl w:val="0"/>
        <w:spacing w:after="0" w:line="240" w:lineRule="auto"/>
        <w:jc w:val="both"/>
        <w:rPr>
          <w:rFonts w:ascii="Verdana" w:eastAsia="Verdana" w:hAnsi="Verdana" w:cs="Verdana"/>
          <w:color w:val="6AA84F"/>
          <w:sz w:val="20"/>
          <w:szCs w:val="20"/>
        </w:rPr>
      </w:pPr>
      <w:r>
        <w:rPr>
          <w:rFonts w:ascii="Verdana" w:eastAsia="Verdana" w:hAnsi="Verdana" w:cs="Verdana"/>
          <w:sz w:val="20"/>
          <w:szCs w:val="20"/>
        </w:rPr>
        <w:lastRenderedPageBreak/>
        <w:t>De ahí que, desde la aplicación del enfoque de justicia ambiental, dicha armonización y la adopción de medidas subsecuentes, tienen asiento constitucional. Al respecto, en la Sentencia T-614 del 2019 con ponencia del Magistrado Alberto Rojas Ríos, la Corte Constitucional reiteró la aplicación de la justicia ambiental como marco para la resolución de conflictos relacionados con cargas y beneficios ambientales, como “</w:t>
      </w:r>
      <w:r>
        <w:rPr>
          <w:rFonts w:ascii="Verdana" w:eastAsia="Verdana" w:hAnsi="Verdana" w:cs="Verdana"/>
          <w:i/>
          <w:sz w:val="20"/>
          <w:szCs w:val="20"/>
        </w:rPr>
        <w:t>el tratamiento justo y la participación significativa de todas las personas (…) con respecto al desarrollo y la aplicación de las leyes, reglamentos y políticas ambientales”</w:t>
      </w:r>
      <w:r>
        <w:rPr>
          <w:rFonts w:ascii="Verdana" w:eastAsia="Verdana" w:hAnsi="Verdana" w:cs="Verdana"/>
          <w:sz w:val="20"/>
          <w:szCs w:val="20"/>
        </w:rPr>
        <w:t xml:space="preserve">, dándole pleno sentido a la gestión ambiental democrática y participativa como </w:t>
      </w:r>
      <w:r w:rsidRPr="00866111">
        <w:rPr>
          <w:rFonts w:ascii="Verdana" w:eastAsia="Verdana" w:hAnsi="Verdana" w:cs="Verdana"/>
          <w:sz w:val="20"/>
          <w:szCs w:val="20"/>
          <w:shd w:val="clear" w:color="auto" w:fill="FFFFFF" w:themeFill="background1"/>
        </w:rPr>
        <w:t xml:space="preserve">lo </w:t>
      </w:r>
      <w:sdt>
        <w:sdtPr>
          <w:rPr>
            <w:shd w:val="clear" w:color="auto" w:fill="FFFFFF" w:themeFill="background1"/>
          </w:rPr>
          <w:tag w:val="goog_rdk_3"/>
          <w:id w:val="-1927970054"/>
        </w:sdtPr>
        <w:sdtEndPr/>
        <w:sdtContent/>
      </w:sdt>
      <w:r w:rsidRPr="00866111">
        <w:rPr>
          <w:rFonts w:ascii="Verdana" w:eastAsia="Verdana" w:hAnsi="Verdana" w:cs="Verdana"/>
          <w:sz w:val="20"/>
          <w:szCs w:val="20"/>
          <w:shd w:val="clear" w:color="auto" w:fill="FFFFFF" w:themeFill="background1"/>
        </w:rPr>
        <w:t>ordena</w:t>
      </w:r>
      <w:r w:rsidR="00866111">
        <w:rPr>
          <w:rFonts w:ascii="Verdana" w:eastAsia="Verdana" w:hAnsi="Verdana" w:cs="Verdana"/>
          <w:sz w:val="20"/>
          <w:szCs w:val="20"/>
          <w:shd w:val="clear" w:color="auto" w:fill="FFFFFF" w:themeFill="background1"/>
        </w:rPr>
        <w:t xml:space="preserve"> </w:t>
      </w:r>
      <w:r w:rsidRPr="00866111">
        <w:rPr>
          <w:rFonts w:ascii="Verdana" w:eastAsia="Verdana" w:hAnsi="Verdana" w:cs="Verdana"/>
          <w:sz w:val="20"/>
          <w:szCs w:val="20"/>
          <w:shd w:val="clear" w:color="auto" w:fill="FFFFFF" w:themeFill="background1"/>
        </w:rPr>
        <w:t>el</w:t>
      </w:r>
      <w:r>
        <w:rPr>
          <w:rFonts w:ascii="Verdana" w:eastAsia="Verdana" w:hAnsi="Verdana" w:cs="Verdana"/>
          <w:sz w:val="20"/>
          <w:szCs w:val="20"/>
        </w:rPr>
        <w:t xml:space="preserve"> artículo 79 Constitucional y numeral 12 del artículo 1 de la Ley 99 de 1993. </w:t>
      </w:r>
    </w:p>
    <w:p w14:paraId="0000008E" w14:textId="77777777" w:rsidR="002B2554" w:rsidRDefault="002B2554">
      <w:pPr>
        <w:widowControl w:val="0"/>
        <w:spacing w:after="0" w:line="240" w:lineRule="auto"/>
        <w:jc w:val="both"/>
        <w:rPr>
          <w:rFonts w:ascii="Verdana" w:eastAsia="Verdana" w:hAnsi="Verdana" w:cs="Verdana"/>
          <w:sz w:val="20"/>
          <w:szCs w:val="20"/>
        </w:rPr>
      </w:pPr>
    </w:p>
    <w:p w14:paraId="0000008F"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Al respecto, considerando que la declaratoria del área protegida incluyó dentro del polígono los asentamientos de los Barrios Palmira y Nueva Floresta, esta situación excepcional requiere la adopción de medidas diferenciales, adecuadas y específicas para atender las circunstancias especiales de estos barrios, como pudiera ser, colaborar con otras autoridades e instituciones de modo que, en el marco de las competencias de cada una y respetando los términos del Plan de Manejo, se pueda facilitar la garantía d</w:t>
      </w:r>
      <w:r>
        <w:rPr>
          <w:rFonts w:ascii="Verdana" w:eastAsia="Verdana" w:hAnsi="Verdana" w:cs="Verdana"/>
          <w:sz w:val="20"/>
          <w:szCs w:val="20"/>
        </w:rPr>
        <w:t xml:space="preserve">e derechos fundamentales, como los asociados a la provisión de servicios públicos domiciliarios, agua potable y saneamiento básico, en tanto éstos, son objeto de protección constitucional. </w:t>
      </w:r>
    </w:p>
    <w:p w14:paraId="00000090" w14:textId="77777777" w:rsidR="002B2554" w:rsidRDefault="002B2554">
      <w:pPr>
        <w:widowControl w:val="0"/>
        <w:spacing w:after="0" w:line="240" w:lineRule="auto"/>
        <w:jc w:val="both"/>
        <w:rPr>
          <w:rFonts w:ascii="Verdana" w:eastAsia="Verdana" w:hAnsi="Verdana" w:cs="Verdana"/>
          <w:sz w:val="20"/>
          <w:szCs w:val="20"/>
        </w:rPr>
      </w:pPr>
    </w:p>
    <w:p w14:paraId="00000091"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De acuerdo con el artículo 365 de la Constitución Política, </w:t>
      </w:r>
      <w:r>
        <w:rPr>
          <w:rFonts w:ascii="Verdana" w:eastAsia="Verdana" w:hAnsi="Verdana" w:cs="Verdana"/>
          <w:i/>
          <w:sz w:val="20"/>
          <w:szCs w:val="20"/>
        </w:rPr>
        <w:t>“los servicios públicos son inherentes a la finalidad social del Estado. Es deber del Estado asegurar su prestación eficiente a todos los habitantes del territorio nacional”</w:t>
      </w:r>
      <w:r>
        <w:rPr>
          <w:rFonts w:ascii="Verdana" w:eastAsia="Verdana" w:hAnsi="Verdana" w:cs="Verdana"/>
          <w:sz w:val="20"/>
          <w:szCs w:val="20"/>
        </w:rPr>
        <w:t xml:space="preserve">, en ese sentido, la accesibilidad a los servicios públicos es una garantía constitucional y su realización está relacionada con otros derechos fundamentales. </w:t>
      </w:r>
    </w:p>
    <w:p w14:paraId="00000092" w14:textId="77777777" w:rsidR="002B2554" w:rsidRDefault="002B2554">
      <w:pPr>
        <w:widowControl w:val="0"/>
        <w:spacing w:after="0" w:line="240" w:lineRule="auto"/>
        <w:jc w:val="both"/>
        <w:rPr>
          <w:rFonts w:ascii="Verdana" w:eastAsia="Verdana" w:hAnsi="Verdana" w:cs="Verdana"/>
          <w:sz w:val="20"/>
          <w:szCs w:val="20"/>
        </w:rPr>
      </w:pPr>
    </w:p>
    <w:p w14:paraId="00000093" w14:textId="14455307" w:rsidR="002B2554" w:rsidRPr="00DF7C91" w:rsidRDefault="004F2B40">
      <w:pPr>
        <w:spacing w:after="0" w:line="240" w:lineRule="auto"/>
        <w:jc w:val="both"/>
        <w:rPr>
          <w:rFonts w:ascii="Verdana" w:eastAsia="Verdana" w:hAnsi="Verdana" w:cs="Verdana"/>
          <w:b/>
          <w:bCs/>
          <w:sz w:val="20"/>
          <w:szCs w:val="20"/>
        </w:rPr>
      </w:pPr>
      <w:r>
        <w:rPr>
          <w:rFonts w:ascii="Verdana" w:eastAsia="Verdana" w:hAnsi="Verdana" w:cs="Verdana"/>
          <w:sz w:val="20"/>
          <w:szCs w:val="20"/>
        </w:rPr>
        <w:t xml:space="preserve">Por lo anterior, con la adopción del nuevo Plan de Manejo del Santuario de  Fauna y Flora Los Colorados, Parques Nacionales Naturales de Colombia, en el marco de las facultades concedidas por el Decreto Ley 3572 de 2011, el artículo 7 de la Ley 1955 de 2019 y el artículo 29 de la Ley 2294 de 2023, podrá celebrar acuerdos con la población de los Barrios Palmira y Nueva Floresta, </w:t>
      </w:r>
      <w:r>
        <w:rPr>
          <w:rFonts w:ascii="Verdana" w:eastAsia="Verdana" w:hAnsi="Verdana" w:cs="Verdana"/>
          <w:sz w:val="20"/>
          <w:szCs w:val="20"/>
        </w:rPr>
        <w:t>con el fin de</w:t>
      </w:r>
      <w:r w:rsidR="00A37E96">
        <w:rPr>
          <w:rFonts w:ascii="Verdana" w:eastAsia="Verdana" w:hAnsi="Verdana" w:cs="Verdana"/>
          <w:sz w:val="20"/>
          <w:szCs w:val="20"/>
        </w:rPr>
        <w:t xml:space="preserve"> adoptar medidas diferenciales</w:t>
      </w:r>
      <w:r w:rsidR="00D361A9">
        <w:rPr>
          <w:rFonts w:ascii="Verdana" w:eastAsia="Verdana" w:hAnsi="Verdana" w:cs="Verdana"/>
          <w:sz w:val="20"/>
          <w:szCs w:val="20"/>
        </w:rPr>
        <w:t xml:space="preserve">, como lo son, </w:t>
      </w:r>
      <w:r>
        <w:rPr>
          <w:rFonts w:ascii="Verdana" w:eastAsia="Verdana" w:hAnsi="Verdana" w:cs="Verdana"/>
          <w:sz w:val="20"/>
          <w:szCs w:val="20"/>
        </w:rPr>
        <w:t xml:space="preserve"> autorizar la adecuación de las viviendas</w:t>
      </w:r>
      <w:r w:rsidR="00D361A9">
        <w:rPr>
          <w:rFonts w:ascii="Verdana" w:eastAsia="Verdana" w:hAnsi="Verdana" w:cs="Verdana"/>
          <w:sz w:val="20"/>
          <w:szCs w:val="20"/>
        </w:rPr>
        <w:t xml:space="preserve"> existentes</w:t>
      </w:r>
      <w:r>
        <w:rPr>
          <w:rFonts w:ascii="Verdana" w:eastAsia="Verdana" w:hAnsi="Verdana" w:cs="Verdana"/>
          <w:sz w:val="20"/>
          <w:szCs w:val="20"/>
        </w:rPr>
        <w:t xml:space="preserve">, facilitar la provisión de los servicios públicos domiciliarios, así como las obras y actividades de mantenimiento y adecuación de la infraestructura asociada (gas, luz eléctrica, agua potable y saneamiento básico), </w:t>
      </w:r>
      <w:r w:rsidRPr="000B05DF">
        <w:rPr>
          <w:rFonts w:ascii="Verdana" w:eastAsia="Verdana" w:hAnsi="Verdana" w:cs="Verdana"/>
          <w:sz w:val="20"/>
          <w:szCs w:val="20"/>
          <w:shd w:val="clear" w:color="auto" w:fill="FFFFFF" w:themeFill="background1"/>
        </w:rPr>
        <w:t>la adecuación de las vías</w:t>
      </w:r>
      <w:r w:rsidRPr="000B05DF">
        <w:rPr>
          <w:rFonts w:ascii="Verdana" w:eastAsia="Verdana" w:hAnsi="Verdana" w:cs="Verdana"/>
          <w:sz w:val="20"/>
          <w:szCs w:val="20"/>
          <w:shd w:val="clear" w:color="auto" w:fill="FFFFFF" w:themeFill="background1"/>
        </w:rPr>
        <w:t xml:space="preserve"> de acceso conforme los </w:t>
      </w:r>
      <w:sdt>
        <w:sdtPr>
          <w:rPr>
            <w:shd w:val="clear" w:color="auto" w:fill="FFFFFF" w:themeFill="background1"/>
          </w:rPr>
          <w:tag w:val="goog_rdk_5"/>
          <w:id w:val="-1430389446"/>
        </w:sdtPr>
        <w:sdtEndPr/>
        <w:sdtContent/>
      </w:sdt>
      <w:r w:rsidRPr="000B05DF">
        <w:rPr>
          <w:rFonts w:ascii="Verdana" w:eastAsia="Verdana" w:hAnsi="Verdana" w:cs="Verdana"/>
          <w:sz w:val="20"/>
          <w:szCs w:val="20"/>
          <w:shd w:val="clear" w:color="auto" w:fill="FFFFFF" w:themeFill="background1"/>
        </w:rPr>
        <w:t xml:space="preserve">requerimientos técnicos </w:t>
      </w:r>
      <w:r w:rsidRPr="000B05DF">
        <w:rPr>
          <w:rFonts w:ascii="Verdana" w:eastAsia="Verdana" w:hAnsi="Verdana" w:cs="Verdana"/>
          <w:sz w:val="20"/>
          <w:szCs w:val="20"/>
          <w:shd w:val="clear" w:color="auto" w:fill="FFFFFF" w:themeFill="background1"/>
        </w:rPr>
        <w:t>compatibles (como</w:t>
      </w:r>
      <w:r>
        <w:rPr>
          <w:rFonts w:ascii="Verdana" w:eastAsia="Verdana" w:hAnsi="Verdana" w:cs="Verdana"/>
          <w:sz w:val="20"/>
          <w:szCs w:val="20"/>
        </w:rPr>
        <w:t xml:space="preserve"> el </w:t>
      </w:r>
      <w:r>
        <w:rPr>
          <w:rFonts w:ascii="Verdana" w:eastAsia="Verdana" w:hAnsi="Verdana" w:cs="Verdana"/>
          <w:i/>
          <w:sz w:val="20"/>
          <w:szCs w:val="20"/>
        </w:rPr>
        <w:t>adoquinado</w:t>
      </w:r>
      <w:r>
        <w:rPr>
          <w:rFonts w:ascii="Verdana" w:eastAsia="Verdana" w:hAnsi="Verdana" w:cs="Verdana"/>
          <w:sz w:val="20"/>
          <w:szCs w:val="20"/>
        </w:rPr>
        <w:t xml:space="preserve"> y técnicas similares, por ejemplo), así como todas aquellas que se consideren necesarias para atender la problemática descrita y garantizar sus condiciones de vida digna, </w:t>
      </w:r>
      <w:r w:rsidRPr="00DF7C91">
        <w:rPr>
          <w:rFonts w:ascii="Verdana" w:eastAsia="Verdana" w:hAnsi="Verdana" w:cs="Verdana"/>
          <w:b/>
          <w:bCs/>
          <w:sz w:val="20"/>
          <w:szCs w:val="20"/>
        </w:rPr>
        <w:t>siempre de acuerdo con los términos que establece el Plan de Manejo</w:t>
      </w:r>
      <w:r w:rsidR="00DF7C91">
        <w:rPr>
          <w:rFonts w:ascii="Verdana" w:eastAsia="Verdana" w:hAnsi="Verdana" w:cs="Verdana"/>
          <w:b/>
          <w:bCs/>
          <w:sz w:val="20"/>
          <w:szCs w:val="20"/>
        </w:rPr>
        <w:t xml:space="preserve"> y </w:t>
      </w:r>
      <w:r w:rsidR="00024587">
        <w:rPr>
          <w:rFonts w:ascii="Verdana" w:eastAsia="Verdana" w:hAnsi="Verdana" w:cs="Verdana"/>
          <w:b/>
          <w:bCs/>
          <w:sz w:val="20"/>
          <w:szCs w:val="20"/>
        </w:rPr>
        <w:t>las condiciones fijadas por Parques Nacionales Naturales de Colombia</w:t>
      </w:r>
      <w:r w:rsidRPr="00DF7C91">
        <w:rPr>
          <w:rFonts w:ascii="Verdana" w:eastAsia="Verdana" w:hAnsi="Verdana" w:cs="Verdana"/>
          <w:b/>
          <w:bCs/>
          <w:sz w:val="20"/>
          <w:szCs w:val="20"/>
        </w:rPr>
        <w:t xml:space="preserve">. </w:t>
      </w:r>
    </w:p>
    <w:p w14:paraId="00000094" w14:textId="77777777" w:rsidR="002B2554" w:rsidRDefault="002B2554">
      <w:pPr>
        <w:spacing w:after="0" w:line="240" w:lineRule="auto"/>
        <w:jc w:val="both"/>
        <w:rPr>
          <w:rFonts w:ascii="Verdana" w:eastAsia="Verdana" w:hAnsi="Verdana" w:cs="Verdana"/>
          <w:b/>
          <w:sz w:val="20"/>
          <w:szCs w:val="20"/>
        </w:rPr>
      </w:pPr>
    </w:p>
    <w:p w14:paraId="00000095" w14:textId="77777777" w:rsidR="002B2554" w:rsidRDefault="004F2B40">
      <w:pPr>
        <w:spacing w:after="0" w:line="240" w:lineRule="auto"/>
        <w:jc w:val="both"/>
        <w:rPr>
          <w:rFonts w:ascii="Verdana" w:eastAsia="Verdana" w:hAnsi="Verdana" w:cs="Verdana"/>
          <w:b/>
          <w:sz w:val="20"/>
          <w:szCs w:val="20"/>
        </w:rPr>
      </w:pPr>
      <w:r>
        <w:rPr>
          <w:rFonts w:ascii="Verdana" w:eastAsia="Verdana" w:hAnsi="Verdana" w:cs="Verdana"/>
          <w:b/>
          <w:sz w:val="20"/>
          <w:szCs w:val="20"/>
        </w:rPr>
        <w:t>Plan de Manejo</w:t>
      </w:r>
    </w:p>
    <w:p w14:paraId="00000096" w14:textId="77777777" w:rsidR="002B2554" w:rsidRDefault="002B2554">
      <w:pPr>
        <w:widowControl w:val="0"/>
        <w:spacing w:after="0" w:line="240" w:lineRule="auto"/>
        <w:jc w:val="both"/>
        <w:rPr>
          <w:rFonts w:ascii="Verdana" w:eastAsia="Verdana" w:hAnsi="Verdana" w:cs="Verdana"/>
          <w:sz w:val="20"/>
          <w:szCs w:val="20"/>
        </w:rPr>
      </w:pPr>
    </w:p>
    <w:p w14:paraId="00000097"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La Subdirección de Gestión y Manejo de Áreas Protegidas remitió a la Oficina Asesora Jurídica, a través del Memorando 20252200001633 del 16 de julio de 2025, el documento de Plan de Manejo, la verificación técnica de acuerdo a los lineamientos de planificación del manejo y sus anexos, los cuales hacen parte integral del documento de planificación. </w:t>
      </w:r>
    </w:p>
    <w:p w14:paraId="00000098" w14:textId="77777777" w:rsidR="002B2554" w:rsidRDefault="002B2554">
      <w:pPr>
        <w:widowControl w:val="0"/>
        <w:spacing w:after="0" w:line="240" w:lineRule="auto"/>
        <w:jc w:val="both"/>
        <w:rPr>
          <w:rFonts w:ascii="Verdana" w:eastAsia="Verdana" w:hAnsi="Verdana" w:cs="Verdana"/>
          <w:sz w:val="20"/>
          <w:szCs w:val="20"/>
        </w:rPr>
      </w:pPr>
    </w:p>
    <w:p w14:paraId="00000099"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Del análisis del Plan de Manejo se puede recalcar que está compuesto por los señalados componentes, destacándose en cada uno de ellos lo siguiente: </w:t>
      </w:r>
    </w:p>
    <w:p w14:paraId="0000009A" w14:textId="77777777" w:rsidR="002B2554" w:rsidRDefault="002B2554">
      <w:pPr>
        <w:widowControl w:val="0"/>
        <w:spacing w:after="0" w:line="240" w:lineRule="auto"/>
        <w:jc w:val="both"/>
        <w:rPr>
          <w:rFonts w:ascii="Verdana" w:eastAsia="Verdana" w:hAnsi="Verdana" w:cs="Verdana"/>
          <w:sz w:val="20"/>
          <w:szCs w:val="20"/>
        </w:rPr>
      </w:pPr>
    </w:p>
    <w:p w14:paraId="0000009B" w14:textId="77777777"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El componente diagnóstico hace referencia a aspectos fundamentales, tales como el contexto regional y local, los servicios ecosistémicos del área protegida, los objetivos y </w:t>
      </w:r>
      <w:r>
        <w:rPr>
          <w:rFonts w:ascii="Verdana" w:eastAsia="Verdana" w:hAnsi="Verdana" w:cs="Verdana"/>
          <w:sz w:val="20"/>
          <w:szCs w:val="20"/>
        </w:rPr>
        <w:lastRenderedPageBreak/>
        <w:t>valores objeto de conservación, aspectos climáticos, entre otros; información que permite establecer el estado de conservación de los ecosistemas, medir la efectividad en el manejo del área protegida y caracterizar las problemáticas para identificar y priorizar situaciones de manejo. Lo anterior en su conjunto se constituye en el sustento para la formulación de los componentes de ordenamiento y estratégico.</w:t>
      </w:r>
    </w:p>
    <w:p w14:paraId="0000009C" w14:textId="77777777" w:rsidR="002B2554" w:rsidRDefault="002B2554">
      <w:pPr>
        <w:widowControl w:val="0"/>
        <w:spacing w:after="0" w:line="240" w:lineRule="auto"/>
        <w:jc w:val="both"/>
        <w:rPr>
          <w:rFonts w:ascii="Verdana" w:eastAsia="Verdana" w:hAnsi="Verdana" w:cs="Verdana"/>
          <w:sz w:val="20"/>
          <w:szCs w:val="20"/>
        </w:rPr>
      </w:pPr>
    </w:p>
    <w:p w14:paraId="0000009D" w14:textId="6DE0F9B3"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En desarrollo del componente de ordenamiento del Plan de Manejo se tuvo en cuenta la normatividad establecida en la</w:t>
      </w:r>
      <w:sdt>
        <w:sdtPr>
          <w:tag w:val="goog_rdk_6"/>
          <w:id w:val="-195698046"/>
        </w:sdtPr>
        <w:sdtEndPr>
          <w:rPr>
            <w:shd w:val="clear" w:color="auto" w:fill="FFFFFF" w:themeFill="background1"/>
          </w:rPr>
        </w:sdtEndPr>
        <w:sdtContent>
          <w:r w:rsidR="008E4F76">
            <w:t xml:space="preserve"> </w:t>
          </w:r>
        </w:sdtContent>
      </w:sdt>
      <w:r w:rsidRPr="00DC0149">
        <w:rPr>
          <w:rFonts w:ascii="Verdana" w:eastAsia="Verdana" w:hAnsi="Verdana" w:cs="Verdana"/>
          <w:sz w:val="20"/>
          <w:szCs w:val="20"/>
          <w:shd w:val="clear" w:color="auto" w:fill="FFFFFF" w:themeFill="background1"/>
        </w:rPr>
        <w:t>Ley 2 de 1959, el Decreto Ley 2811 de 1974</w:t>
      </w:r>
      <w:r w:rsidR="00DC0149" w:rsidRPr="00DC0149">
        <w:rPr>
          <w:rFonts w:ascii="Verdana" w:eastAsia="Verdana" w:hAnsi="Verdana" w:cs="Verdana"/>
          <w:sz w:val="20"/>
          <w:szCs w:val="20"/>
          <w:shd w:val="clear" w:color="auto" w:fill="FFFFFF" w:themeFill="background1"/>
        </w:rPr>
        <w:t>, Ley 99 de 1993</w:t>
      </w:r>
      <w:r w:rsidRPr="00DC0149">
        <w:rPr>
          <w:rFonts w:ascii="Verdana" w:eastAsia="Verdana" w:hAnsi="Verdana" w:cs="Verdana"/>
          <w:sz w:val="20"/>
          <w:szCs w:val="20"/>
          <w:shd w:val="clear" w:color="auto" w:fill="FFFFFF" w:themeFill="background1"/>
        </w:rPr>
        <w:t xml:space="preserve"> y el Decreto 1076 de 2015</w:t>
      </w:r>
      <w:r w:rsidRPr="00DC0149">
        <w:rPr>
          <w:rFonts w:ascii="Verdana" w:eastAsia="Verdana" w:hAnsi="Verdana" w:cs="Verdana"/>
          <w:sz w:val="20"/>
          <w:szCs w:val="20"/>
          <w:shd w:val="clear" w:color="auto" w:fill="FFFFFF" w:themeFill="background1"/>
        </w:rPr>
        <w:t>.</w:t>
      </w:r>
      <w:r>
        <w:rPr>
          <w:rFonts w:ascii="Verdana" w:eastAsia="Verdana" w:hAnsi="Verdana" w:cs="Verdana"/>
          <w:sz w:val="20"/>
          <w:szCs w:val="20"/>
        </w:rPr>
        <w:t xml:space="preserve"> Así mismo contiene los criterios y la metodología con los cuales se definieron las zonas de manejo y la regulación de usos y actividades para cada una de ellas.</w:t>
      </w:r>
    </w:p>
    <w:p w14:paraId="0000009E" w14:textId="77777777" w:rsidR="002B2554" w:rsidRDefault="002B2554">
      <w:pPr>
        <w:widowControl w:val="0"/>
        <w:spacing w:after="0" w:line="240" w:lineRule="auto"/>
        <w:jc w:val="both"/>
        <w:rPr>
          <w:rFonts w:ascii="Verdana" w:eastAsia="Verdana" w:hAnsi="Verdana" w:cs="Verdana"/>
          <w:sz w:val="20"/>
          <w:szCs w:val="20"/>
        </w:rPr>
      </w:pPr>
    </w:p>
    <w:p w14:paraId="0000009F"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cada una de las zonas definidas se estableció una intención de manejo a cinco (5) años, que es el alcance de la gestión del área para la vigencia del plan, así como las medidas de manejo que constituyen las principales líneas de acción y gestión para alcanzar dichas intenciones. Como medidas de manejo generales que dan respuesta a los aspectos misionales de Parques Nacionales Naturales de Colombia, se desarrollarán en todas las zonas actividades de prevención, vigilancia y control.  </w:t>
      </w:r>
    </w:p>
    <w:p w14:paraId="000000A0" w14:textId="77777777" w:rsidR="002B2554" w:rsidRDefault="002B2554">
      <w:pPr>
        <w:spacing w:after="0" w:line="240" w:lineRule="auto"/>
        <w:jc w:val="both"/>
        <w:rPr>
          <w:rFonts w:ascii="Verdana" w:eastAsia="Verdana" w:hAnsi="Verdana" w:cs="Verdana"/>
          <w:sz w:val="20"/>
          <w:szCs w:val="20"/>
        </w:rPr>
      </w:pPr>
    </w:p>
    <w:p w14:paraId="000000A1"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 xml:space="preserve">Para la formulación de los objetivos de gestión del área protegida, se consideró prioritario, entre otros aspectos, garantizar la protección del bosque y sus especies asociadas, así como dirigir las estrategias de conservación a la implementación de corredores de biodiversidad que permitan incrementar la conectividad ecológica local y regional para garantizar el flujo genético de sus especies de flora y fauna. </w:t>
      </w:r>
    </w:p>
    <w:p w14:paraId="000000A2" w14:textId="77777777" w:rsidR="002B2554" w:rsidRDefault="002B2554">
      <w:pPr>
        <w:spacing w:after="0" w:line="240" w:lineRule="auto"/>
        <w:ind w:hanging="2"/>
        <w:jc w:val="both"/>
        <w:rPr>
          <w:rFonts w:ascii="Verdana" w:eastAsia="Verdana" w:hAnsi="Verdana" w:cs="Verdana"/>
          <w:sz w:val="20"/>
          <w:szCs w:val="20"/>
        </w:rPr>
      </w:pPr>
    </w:p>
    <w:p w14:paraId="000000A3" w14:textId="0EF154ED"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 xml:space="preserve">Además, de manera especial, acciones soportadas a partir de estrategias de participación efectivas de las comunidades </w:t>
      </w:r>
      <w:r>
        <w:rPr>
          <w:rFonts w:ascii="Verdana" w:eastAsia="Verdana" w:hAnsi="Verdana" w:cs="Verdana"/>
          <w:sz w:val="20"/>
          <w:szCs w:val="20"/>
        </w:rPr>
        <w:t xml:space="preserve">y habitantes del área protegida incorporando sus habilidades locales y conocimientos tradicionales, proceso que también incide en el fortalecimiento y reconstrucción del tejido social y el relacionamiento entre el </w:t>
      </w:r>
      <w:r w:rsidR="00184C72">
        <w:rPr>
          <w:rFonts w:ascii="Verdana" w:eastAsia="Verdana" w:hAnsi="Verdana" w:cs="Verdana"/>
          <w:sz w:val="20"/>
          <w:szCs w:val="20"/>
        </w:rPr>
        <w:t>Á</w:t>
      </w:r>
      <w:r>
        <w:rPr>
          <w:rFonts w:ascii="Verdana" w:eastAsia="Verdana" w:hAnsi="Verdana" w:cs="Verdana"/>
          <w:sz w:val="20"/>
          <w:szCs w:val="20"/>
        </w:rPr>
        <w:t xml:space="preserve">rea </w:t>
      </w:r>
      <w:r w:rsidR="00184C72">
        <w:rPr>
          <w:rFonts w:ascii="Verdana" w:eastAsia="Verdana" w:hAnsi="Verdana" w:cs="Verdana"/>
          <w:sz w:val="20"/>
          <w:szCs w:val="20"/>
        </w:rPr>
        <w:t>P</w:t>
      </w:r>
      <w:r>
        <w:rPr>
          <w:rFonts w:ascii="Verdana" w:eastAsia="Verdana" w:hAnsi="Verdana" w:cs="Verdana"/>
          <w:sz w:val="20"/>
          <w:szCs w:val="20"/>
        </w:rPr>
        <w:t>rotegida y las comunidades siendo este proceso un aporte a la gobernanza y consolidación de la paz en</w:t>
      </w:r>
      <w:r w:rsidR="00184C72">
        <w:rPr>
          <w:rFonts w:ascii="Verdana" w:eastAsia="Verdana" w:hAnsi="Verdana" w:cs="Verdana"/>
          <w:sz w:val="20"/>
          <w:szCs w:val="20"/>
        </w:rPr>
        <w:t xml:space="preserve"> la región de</w:t>
      </w:r>
      <w:r>
        <w:rPr>
          <w:rFonts w:ascii="Verdana" w:eastAsia="Verdana" w:hAnsi="Verdana" w:cs="Verdana"/>
          <w:sz w:val="20"/>
          <w:szCs w:val="20"/>
        </w:rPr>
        <w:t xml:space="preserve"> Los Montes de María.</w:t>
      </w:r>
    </w:p>
    <w:p w14:paraId="000000A4" w14:textId="77777777" w:rsidR="002B2554" w:rsidRDefault="002B2554">
      <w:pPr>
        <w:spacing w:after="0" w:line="240" w:lineRule="auto"/>
        <w:ind w:hanging="2"/>
        <w:jc w:val="both"/>
        <w:rPr>
          <w:rFonts w:ascii="Verdana" w:eastAsia="Verdana" w:hAnsi="Verdana" w:cs="Verdana"/>
          <w:sz w:val="20"/>
          <w:szCs w:val="20"/>
        </w:rPr>
      </w:pPr>
    </w:p>
    <w:p w14:paraId="000000A5"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este sentido, dentro del Plan Estratégico de Acción Propuesto se formularon dos (2) objetivos estratégicos y cuatro (4) objetivos de gestión, asociados a: </w:t>
      </w:r>
    </w:p>
    <w:p w14:paraId="000000A6" w14:textId="77777777" w:rsidR="002B2554" w:rsidRDefault="002B2554">
      <w:pPr>
        <w:spacing w:after="0" w:line="240" w:lineRule="auto"/>
        <w:jc w:val="both"/>
        <w:rPr>
          <w:rFonts w:ascii="Verdana" w:eastAsia="Verdana" w:hAnsi="Verdana" w:cs="Verdana"/>
          <w:b/>
          <w:sz w:val="20"/>
          <w:szCs w:val="20"/>
        </w:rPr>
      </w:pPr>
    </w:p>
    <w:p w14:paraId="000000A7" w14:textId="77777777" w:rsidR="002B2554" w:rsidRDefault="002B2554">
      <w:pPr>
        <w:spacing w:after="0" w:line="240" w:lineRule="auto"/>
        <w:jc w:val="both"/>
        <w:rPr>
          <w:rFonts w:ascii="Verdana" w:eastAsia="Verdana" w:hAnsi="Verdana" w:cs="Verdana"/>
          <w:b/>
          <w:sz w:val="20"/>
          <w:szCs w:val="20"/>
        </w:rPr>
      </w:pPr>
    </w:p>
    <w:p w14:paraId="000000A8" w14:textId="77777777" w:rsidR="002B2554" w:rsidRDefault="004F2B40">
      <w:pPr>
        <w:spacing w:after="0" w:line="240" w:lineRule="auto"/>
        <w:jc w:val="both"/>
        <w:rPr>
          <w:rFonts w:ascii="Verdana" w:eastAsia="Verdana" w:hAnsi="Verdana" w:cs="Verdana"/>
          <w:b/>
          <w:sz w:val="20"/>
          <w:szCs w:val="20"/>
        </w:rPr>
      </w:pPr>
      <w:r>
        <w:rPr>
          <w:rFonts w:ascii="Verdana" w:eastAsia="Verdana" w:hAnsi="Verdana" w:cs="Verdana"/>
          <w:b/>
          <w:sz w:val="20"/>
          <w:szCs w:val="20"/>
        </w:rPr>
        <w:t>Objetivos Estratégicos</w:t>
      </w:r>
    </w:p>
    <w:p w14:paraId="000000A9" w14:textId="77777777" w:rsidR="002B2554" w:rsidRDefault="002B2554">
      <w:pPr>
        <w:spacing w:after="0" w:line="240" w:lineRule="auto"/>
        <w:jc w:val="both"/>
        <w:rPr>
          <w:rFonts w:ascii="Verdana" w:eastAsia="Verdana" w:hAnsi="Verdana" w:cs="Verdana"/>
          <w:sz w:val="20"/>
          <w:szCs w:val="20"/>
        </w:rPr>
      </w:pPr>
    </w:p>
    <w:p w14:paraId="000000AA" w14:textId="77777777" w:rsidR="002B2554" w:rsidRDefault="004F2B40">
      <w:pPr>
        <w:numPr>
          <w:ilvl w:val="0"/>
          <w:numId w:val="3"/>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Mitigar las presiones que afectan el estado de los Valores Objeto de Conservación del Santuario, aportando al ordenamiento territorial, el fortalecimiento de la integridad ecológica del Bosque Seco Tropical y la reconstrucción del tejido sociocultural en Los Montes de María.</w:t>
      </w:r>
    </w:p>
    <w:p w14:paraId="000000AB" w14:textId="77777777" w:rsidR="002B2554" w:rsidRDefault="002B2554">
      <w:pPr>
        <w:spacing w:after="0" w:line="240" w:lineRule="auto"/>
        <w:ind w:left="567" w:hanging="567"/>
        <w:jc w:val="both"/>
        <w:rPr>
          <w:rFonts w:ascii="Verdana" w:eastAsia="Verdana" w:hAnsi="Verdana" w:cs="Verdana"/>
          <w:sz w:val="20"/>
          <w:szCs w:val="20"/>
        </w:rPr>
      </w:pPr>
    </w:p>
    <w:p w14:paraId="000000AC" w14:textId="77777777" w:rsidR="002B2554" w:rsidRDefault="004F2B40">
      <w:pPr>
        <w:numPr>
          <w:ilvl w:val="0"/>
          <w:numId w:val="3"/>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Impulsar la gestión del conocimiento científico y de ciencia comunitaria, para la toma de decisiones estratégicas en el manejo del Santuario, el aprovechamiento sostenible de las contribuciones de la naturaleza y la planificación del desarrollo en Los Montes de María.</w:t>
      </w:r>
    </w:p>
    <w:p w14:paraId="000000AD" w14:textId="77777777" w:rsidR="002B2554" w:rsidRDefault="002B2554">
      <w:pPr>
        <w:pBdr>
          <w:top w:val="nil"/>
          <w:left w:val="nil"/>
          <w:bottom w:val="nil"/>
          <w:right w:val="nil"/>
          <w:between w:val="nil"/>
        </w:pBdr>
        <w:spacing w:after="0" w:line="240" w:lineRule="auto"/>
        <w:ind w:left="720"/>
        <w:rPr>
          <w:rFonts w:ascii="Verdana" w:eastAsia="Verdana" w:hAnsi="Verdana" w:cs="Verdana"/>
          <w:color w:val="000000"/>
          <w:sz w:val="20"/>
          <w:szCs w:val="20"/>
        </w:rPr>
      </w:pPr>
    </w:p>
    <w:p w14:paraId="000000AE" w14:textId="77777777" w:rsidR="002B2554" w:rsidRDefault="002B2554">
      <w:pPr>
        <w:pBdr>
          <w:top w:val="nil"/>
          <w:left w:val="nil"/>
          <w:bottom w:val="nil"/>
          <w:right w:val="nil"/>
          <w:between w:val="nil"/>
        </w:pBdr>
        <w:spacing w:after="0" w:line="240" w:lineRule="auto"/>
        <w:ind w:left="720"/>
        <w:rPr>
          <w:rFonts w:ascii="Verdana" w:eastAsia="Verdana" w:hAnsi="Verdana" w:cs="Verdana"/>
          <w:color w:val="000000"/>
          <w:sz w:val="20"/>
          <w:szCs w:val="20"/>
        </w:rPr>
      </w:pPr>
    </w:p>
    <w:p w14:paraId="000000AF"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b/>
          <w:sz w:val="20"/>
          <w:szCs w:val="20"/>
        </w:rPr>
        <w:t>Objetivos de Gestión</w:t>
      </w:r>
    </w:p>
    <w:p w14:paraId="000000B0" w14:textId="77777777" w:rsidR="002B2554" w:rsidRDefault="002B2554">
      <w:pPr>
        <w:spacing w:after="0" w:line="240" w:lineRule="auto"/>
        <w:jc w:val="both"/>
        <w:rPr>
          <w:rFonts w:ascii="Verdana" w:eastAsia="Verdana" w:hAnsi="Verdana" w:cs="Verdana"/>
          <w:sz w:val="20"/>
          <w:szCs w:val="20"/>
        </w:rPr>
      </w:pPr>
    </w:p>
    <w:p w14:paraId="000000B1" w14:textId="77777777" w:rsidR="002B2554" w:rsidRDefault="004F2B40">
      <w:pPr>
        <w:numPr>
          <w:ilvl w:val="0"/>
          <w:numId w:val="2"/>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lastRenderedPageBreak/>
        <w:t>Vincular a las comunidades con problemática de infraestructura habitacional y de servicios a la gestión del Santuario, mejorando la calidad de vida de sus habitantes y promoviendo soluciones basadas en naturaleza.</w:t>
      </w:r>
    </w:p>
    <w:p w14:paraId="000000B2" w14:textId="77777777" w:rsidR="002B2554" w:rsidRDefault="002B2554">
      <w:pPr>
        <w:spacing w:after="0" w:line="240" w:lineRule="auto"/>
        <w:ind w:left="567" w:hanging="567"/>
        <w:jc w:val="both"/>
        <w:rPr>
          <w:rFonts w:ascii="Verdana" w:eastAsia="Verdana" w:hAnsi="Verdana" w:cs="Verdana"/>
          <w:sz w:val="20"/>
          <w:szCs w:val="20"/>
        </w:rPr>
      </w:pPr>
    </w:p>
    <w:p w14:paraId="000000B3" w14:textId="77777777" w:rsidR="002B2554" w:rsidRDefault="004F2B40">
      <w:pPr>
        <w:numPr>
          <w:ilvl w:val="0"/>
          <w:numId w:val="2"/>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Articular el manejo del Santuario de Fauna y Flora Los Colorados a la planificación territorial de los Montes de María, aportando a la preservación, conservación y restauración de los sistemas naturales y del patrimonio cultural de la subregión.</w:t>
      </w:r>
    </w:p>
    <w:p w14:paraId="000000B4" w14:textId="77777777" w:rsidR="002B2554" w:rsidRDefault="002B2554">
      <w:pPr>
        <w:spacing w:after="0" w:line="240" w:lineRule="auto"/>
        <w:ind w:left="567" w:hanging="567"/>
        <w:jc w:val="both"/>
        <w:rPr>
          <w:rFonts w:ascii="Verdana" w:eastAsia="Verdana" w:hAnsi="Verdana" w:cs="Verdana"/>
          <w:sz w:val="20"/>
          <w:szCs w:val="20"/>
        </w:rPr>
      </w:pPr>
    </w:p>
    <w:p w14:paraId="000000B5" w14:textId="77777777" w:rsidR="002B2554" w:rsidRDefault="004F2B40">
      <w:pPr>
        <w:numPr>
          <w:ilvl w:val="0"/>
          <w:numId w:val="2"/>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Posicionar el Santuario de Fauna y Flora Los Colorados como un centro de investigación científica y comunitaria, orientado a la toma de decisiones para el manejo efectivo y la adaptación a la variabilidad climática, que promuevan el desarrollo sostenible del territorio.</w:t>
      </w:r>
    </w:p>
    <w:p w14:paraId="000000B6" w14:textId="77777777" w:rsidR="002B2554" w:rsidRDefault="002B2554">
      <w:pPr>
        <w:spacing w:after="0" w:line="240" w:lineRule="auto"/>
        <w:ind w:left="567" w:hanging="567"/>
        <w:jc w:val="both"/>
        <w:rPr>
          <w:rFonts w:ascii="Verdana" w:eastAsia="Verdana" w:hAnsi="Verdana" w:cs="Verdana"/>
          <w:sz w:val="20"/>
          <w:szCs w:val="20"/>
        </w:rPr>
      </w:pPr>
    </w:p>
    <w:p w14:paraId="000000B7" w14:textId="77777777" w:rsidR="002B2554" w:rsidRDefault="004F2B40">
      <w:pPr>
        <w:numPr>
          <w:ilvl w:val="0"/>
          <w:numId w:val="2"/>
        </w:numPr>
        <w:spacing w:after="0" w:line="240" w:lineRule="auto"/>
        <w:ind w:left="567" w:hanging="567"/>
        <w:jc w:val="both"/>
        <w:rPr>
          <w:rFonts w:ascii="Verdana" w:eastAsia="Verdana" w:hAnsi="Verdana" w:cs="Verdana"/>
          <w:sz w:val="20"/>
          <w:szCs w:val="20"/>
        </w:rPr>
      </w:pPr>
      <w:r>
        <w:rPr>
          <w:rFonts w:ascii="Verdana" w:eastAsia="Verdana" w:hAnsi="Verdana" w:cs="Verdana"/>
          <w:sz w:val="20"/>
          <w:szCs w:val="20"/>
        </w:rPr>
        <w:t xml:space="preserve">Fortalecer la capacidad física, técnica y financiera del Santuario de Fauna y Flora Los Colorados para la sostenibilidad de las estrategias de manejo que se desarrollan en el Área Protegida.  </w:t>
      </w:r>
    </w:p>
    <w:p w14:paraId="000000B8" w14:textId="77777777" w:rsidR="002B2554" w:rsidRDefault="002B255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B9" w14:textId="1302A254" w:rsidR="002B2554" w:rsidRDefault="004F2B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En consideración a lo anterior, el Plan de Manejo que se adopta mediante esta Resolución, en particular, frente al cumplimiento del primer objetivo de gestión, esto es </w:t>
      </w:r>
      <w:r>
        <w:rPr>
          <w:rFonts w:ascii="Verdana" w:eastAsia="Verdana" w:hAnsi="Verdana" w:cs="Verdana"/>
          <w:i/>
          <w:color w:val="000000"/>
          <w:sz w:val="20"/>
          <w:szCs w:val="20"/>
        </w:rPr>
        <w:t>“</w:t>
      </w:r>
      <w:r w:rsidRPr="00C435BD">
        <w:rPr>
          <w:rFonts w:ascii="Verdana" w:eastAsia="Verdana" w:hAnsi="Verdana" w:cs="Verdana"/>
          <w:b/>
          <w:bCs/>
          <w:i/>
          <w:color w:val="000000"/>
          <w:sz w:val="20"/>
          <w:szCs w:val="20"/>
        </w:rPr>
        <w:t>Vincular a las comunidades con problemática de infraestructura habitacional y de servicios a la gestión del Santuario, mejorando la calidad de vida de sus habitantes y promoviendo soluciones basadas en</w:t>
      </w:r>
      <w:r w:rsidR="00C435BD">
        <w:rPr>
          <w:rFonts w:ascii="Verdana" w:eastAsia="Verdana" w:hAnsi="Verdana" w:cs="Verdana"/>
          <w:b/>
          <w:bCs/>
          <w:i/>
          <w:color w:val="000000"/>
          <w:sz w:val="20"/>
          <w:szCs w:val="20"/>
        </w:rPr>
        <w:t xml:space="preserve"> </w:t>
      </w:r>
      <w:r w:rsidRPr="00C435BD">
        <w:rPr>
          <w:rFonts w:ascii="Verdana" w:eastAsia="Verdana" w:hAnsi="Verdana" w:cs="Verdana"/>
          <w:b/>
          <w:bCs/>
          <w:i/>
          <w:color w:val="000000"/>
          <w:sz w:val="20"/>
          <w:szCs w:val="20"/>
        </w:rPr>
        <w:t>naturaleza</w:t>
      </w:r>
      <w:r>
        <w:rPr>
          <w:rFonts w:ascii="Verdana" w:eastAsia="Verdana" w:hAnsi="Verdana" w:cs="Verdana"/>
          <w:i/>
          <w:color w:val="000000"/>
          <w:sz w:val="20"/>
          <w:szCs w:val="20"/>
        </w:rPr>
        <w:t>”</w:t>
      </w:r>
      <w:r>
        <w:rPr>
          <w:rFonts w:ascii="Verdana" w:eastAsia="Verdana" w:hAnsi="Verdana" w:cs="Verdana"/>
          <w:color w:val="000000"/>
          <w:sz w:val="20"/>
          <w:szCs w:val="20"/>
        </w:rPr>
        <w:t xml:space="preserve">, permite que conforme a la zonificación establecida y procurando el menor impacto ambiental posible, </w:t>
      </w:r>
      <w:r w:rsidR="006D0037">
        <w:rPr>
          <w:rFonts w:ascii="Verdana" w:eastAsia="Verdana" w:hAnsi="Verdana" w:cs="Verdana"/>
          <w:color w:val="000000"/>
          <w:sz w:val="20"/>
          <w:szCs w:val="20"/>
        </w:rPr>
        <w:t>en el marco de la celebración de Acuerdos de Conservación con la población de los Barrios Palmira y Nueva Floresta</w:t>
      </w:r>
      <w:r w:rsidR="00CF06DA">
        <w:rPr>
          <w:rFonts w:ascii="Verdana" w:eastAsia="Verdana" w:hAnsi="Verdana" w:cs="Verdana"/>
          <w:color w:val="000000"/>
          <w:sz w:val="20"/>
          <w:szCs w:val="20"/>
        </w:rPr>
        <w:t xml:space="preserve">, </w:t>
      </w:r>
      <w:r w:rsidRPr="00C435BD">
        <w:rPr>
          <w:rFonts w:ascii="Verdana" w:eastAsia="Verdana" w:hAnsi="Verdana" w:cs="Verdana"/>
          <w:color w:val="000000"/>
          <w:sz w:val="20"/>
          <w:szCs w:val="20"/>
          <w:shd w:val="clear" w:color="auto" w:fill="FFFFFF" w:themeFill="background1"/>
        </w:rPr>
        <w:t>se autorice la adecuación y mejoramiento de las viviendas ya existentes</w:t>
      </w:r>
      <w:r w:rsidRPr="00C435BD">
        <w:rPr>
          <w:rFonts w:ascii="Verdana" w:eastAsia="Verdana" w:hAnsi="Verdana" w:cs="Verdana"/>
          <w:color w:val="000000"/>
          <w:sz w:val="20"/>
          <w:szCs w:val="20"/>
          <w:shd w:val="clear" w:color="auto" w:fill="FFFFFF" w:themeFill="background1"/>
        </w:rPr>
        <w:t>, la provi</w:t>
      </w:r>
      <w:r w:rsidRPr="00C435BD">
        <w:rPr>
          <w:rFonts w:ascii="Verdana" w:eastAsia="Verdana" w:hAnsi="Verdana" w:cs="Verdana"/>
          <w:color w:val="000000"/>
          <w:sz w:val="20"/>
          <w:szCs w:val="20"/>
          <w:shd w:val="clear" w:color="auto" w:fill="FFFFFF" w:themeFill="background1"/>
        </w:rPr>
        <w:t>sión de los servicios públicos domiciliarios y la adecuación de las vías bajo condiciones técnicas y ambientales</w:t>
      </w:r>
      <w:r>
        <w:rPr>
          <w:rFonts w:ascii="Verdana" w:eastAsia="Verdana" w:hAnsi="Verdana" w:cs="Verdana"/>
          <w:color w:val="000000"/>
          <w:sz w:val="20"/>
          <w:szCs w:val="20"/>
        </w:rPr>
        <w:t xml:space="preserve"> compatibles con el área protegida,</w:t>
      </w:r>
      <w:r w:rsidR="00CF06DA">
        <w:rPr>
          <w:rFonts w:ascii="Verdana" w:eastAsia="Verdana" w:hAnsi="Verdana" w:cs="Verdana"/>
          <w:color w:val="000000"/>
          <w:sz w:val="20"/>
          <w:szCs w:val="20"/>
        </w:rPr>
        <w:t xml:space="preserve"> previo concepto de la Entidad. </w:t>
      </w:r>
      <w:r>
        <w:rPr>
          <w:rFonts w:ascii="Verdana" w:eastAsia="Verdana" w:hAnsi="Verdana" w:cs="Verdana"/>
          <w:color w:val="000000"/>
          <w:sz w:val="20"/>
          <w:szCs w:val="20"/>
        </w:rPr>
        <w:t xml:space="preserve"> </w:t>
      </w:r>
    </w:p>
    <w:p w14:paraId="000000BA" w14:textId="77777777" w:rsidR="002B2554" w:rsidRDefault="002B255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BB" w14:textId="311A3421" w:rsidR="002B2554" w:rsidRDefault="004F2B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Dichos Acuerdos de Conservación para la adecuación de infraestructura podrán ser celebrados entre Parques Nacionales Naturales de Colombia y la población que habita al interior del Santuario de Fauna y Flora Los Colorados,</w:t>
      </w:r>
      <w:r w:rsidR="0055110C">
        <w:rPr>
          <w:rFonts w:ascii="Verdana" w:eastAsia="Verdana" w:hAnsi="Verdana" w:cs="Verdana"/>
          <w:color w:val="000000"/>
          <w:sz w:val="20"/>
          <w:szCs w:val="20"/>
        </w:rPr>
        <w:t xml:space="preserve"> </w:t>
      </w:r>
      <w:r w:rsidR="005E6EB7">
        <w:rPr>
          <w:rFonts w:ascii="Verdana" w:eastAsia="Verdana" w:hAnsi="Verdana" w:cs="Verdana"/>
          <w:color w:val="000000"/>
          <w:sz w:val="20"/>
          <w:szCs w:val="20"/>
        </w:rPr>
        <w:t>con la concurrencia de otras autoridades públicas de orden nacional</w:t>
      </w:r>
      <w:r w:rsidR="0013241F">
        <w:rPr>
          <w:rFonts w:ascii="Verdana" w:eastAsia="Verdana" w:hAnsi="Verdana" w:cs="Verdana"/>
          <w:color w:val="000000"/>
          <w:sz w:val="20"/>
          <w:szCs w:val="20"/>
        </w:rPr>
        <w:t>, departamental y municipal</w:t>
      </w:r>
      <w:r w:rsidR="005E6EB7">
        <w:rPr>
          <w:rFonts w:ascii="Verdana" w:eastAsia="Verdana" w:hAnsi="Verdana" w:cs="Verdana"/>
          <w:color w:val="000000"/>
          <w:sz w:val="20"/>
          <w:szCs w:val="20"/>
        </w:rPr>
        <w:t xml:space="preserve">, </w:t>
      </w:r>
      <w:r>
        <w:rPr>
          <w:rFonts w:ascii="Verdana" w:eastAsia="Verdana" w:hAnsi="Verdana" w:cs="Verdana"/>
          <w:color w:val="000000"/>
          <w:sz w:val="20"/>
          <w:szCs w:val="20"/>
        </w:rPr>
        <w:t xml:space="preserve">teniendo como fundamento la presente Resolución y el Plan de Manejo que con esta se adopta, bajo principios de colaboración armónica entre entidades, concertación, consenso, diálogo y participación ciudadana. </w:t>
      </w:r>
    </w:p>
    <w:p w14:paraId="000000BC" w14:textId="77777777" w:rsidR="002B2554" w:rsidRDefault="002B255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BD" w14:textId="77777777" w:rsidR="002B2554" w:rsidRDefault="004F2B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Los Acuerdos de Conservación incluirán, por lo menos, tres aspectos: 1) la autorización expresa y detallada por parte de Parques Nacionales Naturales para la realización de adecuaciones o mejoras bajo las condiciones establecidas en la ley y en el Plan de Manejo; 2) las condiciones que garanticen que estas adecuaciones no causen deterioro al Santuario de  Fauna y Flora Los Colorados, y 3) incluirá los permisos de uso o aprovechamiento de los recursos naturales que se requieran para la realización de dichas </w:t>
      </w:r>
      <w:r>
        <w:rPr>
          <w:rFonts w:ascii="Verdana" w:eastAsia="Verdana" w:hAnsi="Verdana" w:cs="Verdana"/>
          <w:color w:val="000000"/>
          <w:sz w:val="20"/>
          <w:szCs w:val="20"/>
        </w:rPr>
        <w:t>adecuaciones.</w:t>
      </w:r>
    </w:p>
    <w:p w14:paraId="000000BE" w14:textId="77777777" w:rsidR="002B2554" w:rsidRDefault="002B255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BF" w14:textId="77777777" w:rsidR="002B2554" w:rsidRDefault="004F2B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Tanto el Plan de Manejo que se adopta como los eventuales Acuerdos de Conservación para la adecuación de infraestructura que se celebren en favor de los habitantes de los Barrios Palmira y Nueva Floresta se constituyen en una medida de manejo diferenciada,  en cumplimiento de los Objetivos Estratégicos y Objetivos de Gestión del Santuario de Fauna y Flora Los Colorados, reconociendo que la protección efectiva de los derechos fundamentales de la población que habita dentro de  éste merece un tratamiento espe</w:t>
      </w:r>
      <w:r>
        <w:rPr>
          <w:rFonts w:ascii="Verdana" w:eastAsia="Verdana" w:hAnsi="Verdana" w:cs="Verdana"/>
          <w:color w:val="000000"/>
          <w:sz w:val="20"/>
          <w:szCs w:val="20"/>
        </w:rPr>
        <w:t xml:space="preserve">cial, en aras de restablecer dichos derechos y evitar vulneraciones futuras, avanzar en el mejoramiento de la gobernanza del área protegida y buscando reconstruir el tejido social del territorio. </w:t>
      </w:r>
    </w:p>
    <w:p w14:paraId="000000C0" w14:textId="77777777" w:rsidR="002B2554" w:rsidRDefault="002B255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C1" w14:textId="31BB1C92" w:rsidR="002B2554" w:rsidRDefault="004F2B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 xml:space="preserve">La presente Resolución fue publicada en el sitio web de Parques Nacionales Naturales de Colombia, en cumplimiento de lo establecido en el numeral 8 del artículo 8 de la Ley 1437 de 2011, desde el día 12 de septiembre hasta el día </w:t>
      </w:r>
      <w:r w:rsidR="00433F14">
        <w:rPr>
          <w:rFonts w:ascii="Verdana" w:eastAsia="Verdana" w:hAnsi="Verdana" w:cs="Verdana"/>
          <w:color w:val="000000"/>
          <w:sz w:val="20"/>
          <w:szCs w:val="20"/>
        </w:rPr>
        <w:t>XXXXXXXX</w:t>
      </w:r>
      <w:r>
        <w:rPr>
          <w:rFonts w:ascii="Verdana" w:eastAsia="Verdana" w:hAnsi="Verdana" w:cs="Verdana"/>
          <w:color w:val="000000"/>
          <w:sz w:val="20"/>
          <w:szCs w:val="20"/>
        </w:rPr>
        <w:t xml:space="preserve"> de 2025. </w:t>
      </w:r>
    </w:p>
    <w:p w14:paraId="000000C2" w14:textId="77777777" w:rsidR="002B2554" w:rsidRDefault="002B2554">
      <w:pPr>
        <w:pBdr>
          <w:top w:val="nil"/>
          <w:left w:val="nil"/>
          <w:bottom w:val="nil"/>
          <w:right w:val="nil"/>
          <w:between w:val="nil"/>
        </w:pBdr>
        <w:spacing w:after="0" w:line="240" w:lineRule="auto"/>
        <w:jc w:val="both"/>
        <w:rPr>
          <w:rFonts w:ascii="Verdana" w:eastAsia="Verdana" w:hAnsi="Verdana" w:cs="Verdana"/>
          <w:color w:val="000000"/>
          <w:sz w:val="20"/>
          <w:szCs w:val="20"/>
        </w:rPr>
      </w:pPr>
    </w:p>
    <w:p w14:paraId="000000C3" w14:textId="025E2C92"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sz w:val="20"/>
          <w:szCs w:val="20"/>
        </w:rPr>
        <w:t xml:space="preserve">En mérito de lo expuesto, </w:t>
      </w:r>
      <w:r>
        <w:rPr>
          <w:rFonts w:ascii="Verdana" w:eastAsia="Verdana" w:hAnsi="Verdana" w:cs="Verdana"/>
          <w:sz w:val="20"/>
          <w:szCs w:val="20"/>
        </w:rPr>
        <w:tab/>
      </w:r>
    </w:p>
    <w:p w14:paraId="000000C4" w14:textId="77777777" w:rsidR="002B2554" w:rsidRDefault="002B2554">
      <w:pPr>
        <w:widowControl w:val="0"/>
        <w:spacing w:after="0" w:line="240" w:lineRule="auto"/>
        <w:jc w:val="center"/>
        <w:rPr>
          <w:rFonts w:ascii="Verdana" w:eastAsia="Verdana" w:hAnsi="Verdana" w:cs="Verdana"/>
          <w:b/>
          <w:sz w:val="20"/>
          <w:szCs w:val="20"/>
        </w:rPr>
      </w:pPr>
    </w:p>
    <w:p w14:paraId="000000C5" w14:textId="77777777" w:rsidR="002B2554" w:rsidRDefault="004F2B40">
      <w:pPr>
        <w:widowControl w:val="0"/>
        <w:spacing w:after="0" w:line="240" w:lineRule="auto"/>
        <w:jc w:val="center"/>
        <w:rPr>
          <w:rFonts w:ascii="Verdana" w:eastAsia="Verdana" w:hAnsi="Verdana" w:cs="Verdana"/>
          <w:b/>
          <w:sz w:val="20"/>
          <w:szCs w:val="20"/>
        </w:rPr>
      </w:pPr>
      <w:r>
        <w:rPr>
          <w:rFonts w:ascii="Verdana" w:eastAsia="Verdana" w:hAnsi="Verdana" w:cs="Verdana"/>
          <w:b/>
          <w:sz w:val="20"/>
          <w:szCs w:val="20"/>
        </w:rPr>
        <w:t>RESUELVE</w:t>
      </w:r>
    </w:p>
    <w:p w14:paraId="000000C6" w14:textId="77777777" w:rsidR="002B2554" w:rsidRDefault="002B2554">
      <w:pPr>
        <w:widowControl w:val="0"/>
        <w:spacing w:after="0" w:line="240" w:lineRule="auto"/>
        <w:jc w:val="center"/>
        <w:rPr>
          <w:rFonts w:ascii="Verdana" w:eastAsia="Verdana" w:hAnsi="Verdana" w:cs="Verdana"/>
          <w:b/>
          <w:sz w:val="20"/>
          <w:szCs w:val="20"/>
        </w:rPr>
      </w:pPr>
    </w:p>
    <w:p w14:paraId="3295708F" w14:textId="77777777" w:rsidR="00433F14" w:rsidRDefault="00433F14">
      <w:pPr>
        <w:widowControl w:val="0"/>
        <w:spacing w:after="0" w:line="240" w:lineRule="auto"/>
        <w:jc w:val="center"/>
        <w:rPr>
          <w:rFonts w:ascii="Verdana" w:eastAsia="Verdana" w:hAnsi="Verdana" w:cs="Verdana"/>
          <w:b/>
          <w:sz w:val="20"/>
          <w:szCs w:val="20"/>
        </w:rPr>
      </w:pPr>
    </w:p>
    <w:p w14:paraId="000000C7"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ARTÍCULO 1. OBJETO. -</w:t>
      </w:r>
      <w:r>
        <w:rPr>
          <w:rFonts w:ascii="Verdana" w:eastAsia="Verdana" w:hAnsi="Verdana" w:cs="Verdana"/>
          <w:sz w:val="20"/>
          <w:szCs w:val="20"/>
        </w:rPr>
        <w:t xml:space="preserve"> Adoptar el Plan de Manejo del Santuario de Fauna y Flora Los Colorados, el cual hace parte integral del presente acto administrativo, conforme a lo expuesto en su parte considerativa. </w:t>
      </w:r>
    </w:p>
    <w:p w14:paraId="000000C8"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C9"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2. ALCANCE. - </w:t>
      </w:r>
      <w:r>
        <w:rPr>
          <w:rFonts w:ascii="Verdana" w:eastAsia="Verdana" w:hAnsi="Verdana" w:cs="Verdana"/>
          <w:sz w:val="20"/>
          <w:szCs w:val="20"/>
        </w:rPr>
        <w:t xml:space="preserve">El Plan de Manejo del Santuario de Fauna y Flora Los Colorados representa el principal instrumento de planificación para el desarrollo, interpretación, conservación, protección, uso y manejo del área protegida, orienta la gestión de Parques Nacionales Naturales de Colombia, y constituye determinante ambiental o norma de superior jerarquía en los términos del artículo 32 de la Ley 2294 de 2023 y el artículo 2.2.2.1.2.10 del Decreto Único 1076 de 2015.  </w:t>
      </w:r>
    </w:p>
    <w:p w14:paraId="000000CA"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CB"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PARÁGRAFO:</w:t>
      </w:r>
      <w:r>
        <w:rPr>
          <w:rFonts w:ascii="Verdana" w:eastAsia="Verdana" w:hAnsi="Verdana" w:cs="Verdana"/>
          <w:sz w:val="20"/>
          <w:szCs w:val="20"/>
        </w:rPr>
        <w:t xml:space="preserve"> La versión oficial reposará en la Subdirección de Gestión y Manejo de Áreas Protegidas, a cargo del Grupo de Planeación y Manejo, estará publicada en el sitio web de Parques Nacionales Naturales de Colombia y en el Registro Único Nacional de Áreas Protegidas (RUNAP).   </w:t>
      </w:r>
    </w:p>
    <w:p w14:paraId="000000CC"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CD"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3. OBJETIVOS DE CONSERVACIÓN. - </w:t>
      </w:r>
      <w:r>
        <w:rPr>
          <w:rFonts w:ascii="Verdana" w:eastAsia="Verdana" w:hAnsi="Verdana" w:cs="Verdana"/>
          <w:sz w:val="20"/>
          <w:szCs w:val="20"/>
        </w:rPr>
        <w:t xml:space="preserve">Los objetivos de conservación del Santuario de Fauna y Flora Los Colorados, según el documento del Plan de Manejo, son los siguientes: </w:t>
      </w:r>
    </w:p>
    <w:p w14:paraId="000000CE"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CF"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D0" w14:textId="77777777" w:rsidR="002B2554" w:rsidRDefault="004F2B40">
      <w:pPr>
        <w:widowControl w:val="0"/>
        <w:numPr>
          <w:ilvl w:val="0"/>
          <w:numId w:val="1"/>
        </w:numPr>
        <w:pBdr>
          <w:top w:val="nil"/>
          <w:left w:val="nil"/>
          <w:bottom w:val="nil"/>
          <w:right w:val="nil"/>
          <w:between w:val="nil"/>
        </w:pBdr>
        <w:tabs>
          <w:tab w:val="left" w:pos="8460"/>
          <w:tab w:val="left" w:pos="9180"/>
        </w:tabs>
        <w:spacing w:after="0" w:line="240" w:lineRule="auto"/>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Conservar el bosque seco tropical del Santuario de Fauna y Flora Los Colorados como área núcleo de las conectividades socioecosistémicas de Los Montes de María, para el mantenimiento de la diversidad biológica del ecosistema, el desarrollo sostenible y la promoción de la participación comunitaria en la valoración cultural de la región.</w:t>
      </w:r>
    </w:p>
    <w:p w14:paraId="000000D1" w14:textId="77777777" w:rsidR="002B2554" w:rsidRDefault="002B2554">
      <w:pPr>
        <w:widowControl w:val="0"/>
        <w:tabs>
          <w:tab w:val="left" w:pos="8460"/>
          <w:tab w:val="left" w:pos="9180"/>
        </w:tabs>
        <w:spacing w:after="0" w:line="240" w:lineRule="auto"/>
        <w:ind w:left="567" w:hanging="567"/>
        <w:jc w:val="both"/>
        <w:rPr>
          <w:rFonts w:ascii="Verdana" w:eastAsia="Verdana" w:hAnsi="Verdana" w:cs="Verdana"/>
          <w:sz w:val="20"/>
          <w:szCs w:val="20"/>
        </w:rPr>
      </w:pPr>
    </w:p>
    <w:p w14:paraId="000000D2" w14:textId="77777777" w:rsidR="002B2554" w:rsidRDefault="004F2B40">
      <w:pPr>
        <w:widowControl w:val="0"/>
        <w:numPr>
          <w:ilvl w:val="0"/>
          <w:numId w:val="1"/>
        </w:numPr>
        <w:pBdr>
          <w:top w:val="nil"/>
          <w:left w:val="nil"/>
          <w:bottom w:val="nil"/>
          <w:right w:val="nil"/>
          <w:between w:val="nil"/>
        </w:pBdr>
        <w:tabs>
          <w:tab w:val="left" w:pos="8460"/>
          <w:tab w:val="left" w:pos="9180"/>
        </w:tabs>
        <w:spacing w:after="0" w:line="240" w:lineRule="auto"/>
        <w:ind w:left="567" w:hanging="567"/>
        <w:jc w:val="both"/>
        <w:rPr>
          <w:rFonts w:ascii="Verdana" w:eastAsia="Verdana" w:hAnsi="Verdana" w:cs="Verdana"/>
          <w:color w:val="000000"/>
          <w:sz w:val="20"/>
          <w:szCs w:val="20"/>
        </w:rPr>
      </w:pPr>
      <w:r>
        <w:rPr>
          <w:rFonts w:ascii="Verdana" w:eastAsia="Verdana" w:hAnsi="Verdana" w:cs="Verdana"/>
          <w:color w:val="000000"/>
          <w:sz w:val="20"/>
          <w:szCs w:val="20"/>
        </w:rPr>
        <w:t>Mantener las características funcionales del Bosque Seco Tropical (BsT) del Santuario de Fauna y Flora Los Colorados, contribuyendo a su capacidad de resiliencia frente a la variabilidad climática y a los servicios ecosistémicos que presta.</w:t>
      </w:r>
    </w:p>
    <w:p w14:paraId="000000D3" w14:textId="77777777" w:rsidR="002B2554" w:rsidRDefault="002B2554">
      <w:pPr>
        <w:widowControl w:val="0"/>
        <w:tabs>
          <w:tab w:val="left" w:pos="8460"/>
          <w:tab w:val="left" w:pos="9180"/>
        </w:tabs>
        <w:spacing w:after="0" w:line="240" w:lineRule="auto"/>
        <w:jc w:val="both"/>
        <w:rPr>
          <w:rFonts w:ascii="Verdana" w:eastAsia="Verdana" w:hAnsi="Verdana" w:cs="Verdana"/>
          <w:b/>
          <w:sz w:val="20"/>
          <w:szCs w:val="20"/>
        </w:rPr>
      </w:pPr>
    </w:p>
    <w:p w14:paraId="000000D4"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4. </w:t>
      </w:r>
      <w:r>
        <w:rPr>
          <w:rFonts w:ascii="Verdana" w:eastAsia="Verdana" w:hAnsi="Verdana" w:cs="Verdana"/>
          <w:sz w:val="20"/>
          <w:szCs w:val="20"/>
        </w:rPr>
        <w:t>En virtud de la adopción del Plan de Manejo, se exalta el reconocimiento constitucional del campesinado como sujeto de derechos y de especial protección, así como su dimensión ambiental y social, que conllevan la garantía de sus derechos individuales y colectivos, entre ellos, el derecho a la vivienda digna, a gozar de los servicios públicos domiciliarios, el acceso a vías, el derecho al territorio y a la participación reforzada en las actuaciones administrativas y en las decisiones que puedan afectarlo. Po</w:t>
      </w:r>
      <w:r>
        <w:rPr>
          <w:rFonts w:ascii="Verdana" w:eastAsia="Verdana" w:hAnsi="Verdana" w:cs="Verdana"/>
          <w:sz w:val="20"/>
          <w:szCs w:val="20"/>
        </w:rPr>
        <w:t xml:space="preserve">r lo tanto, se adoptarán medidas concretas en el marco del Plan de Manejo que permita la materialización de ese reconocimiento, en el marco de las funciones y competencias de Parques Nacionales Naturales de Colombia.  </w:t>
      </w:r>
    </w:p>
    <w:p w14:paraId="000000D6" w14:textId="5CA0C72E" w:rsidR="002B2554" w:rsidRDefault="004F2B40">
      <w:pPr>
        <w:widowControl w:val="0"/>
        <w:tabs>
          <w:tab w:val="left" w:pos="8460"/>
          <w:tab w:val="left" w:pos="9180"/>
        </w:tabs>
        <w:spacing w:after="0" w:line="240" w:lineRule="auto"/>
        <w:jc w:val="both"/>
        <w:rPr>
          <w:rFonts w:ascii="Verdana" w:eastAsia="Verdana" w:hAnsi="Verdana" w:cs="Verdana"/>
          <w:sz w:val="20"/>
          <w:szCs w:val="20"/>
        </w:rPr>
      </w:pPr>
      <w:bookmarkStart w:id="0" w:name="_heading=h.lnij3s6hcql9" w:colFirst="0" w:colLast="0"/>
      <w:bookmarkEnd w:id="0"/>
      <w:r>
        <w:rPr>
          <w:rFonts w:ascii="Verdana" w:eastAsia="Verdana" w:hAnsi="Verdana" w:cs="Verdana"/>
          <w:b/>
          <w:sz w:val="20"/>
          <w:szCs w:val="20"/>
        </w:rPr>
        <w:t xml:space="preserve">ARTÍCULO 5. </w:t>
      </w:r>
      <w:r>
        <w:rPr>
          <w:rFonts w:ascii="Verdana" w:eastAsia="Verdana" w:hAnsi="Verdana" w:cs="Verdana"/>
          <w:sz w:val="20"/>
          <w:szCs w:val="20"/>
        </w:rPr>
        <w:t xml:space="preserve">El Plan de Manejo que se adopta por medio de esta Resolución permite la celebración de Acuerdos de Conservación con la población habitante de los Barrios Palmira </w:t>
      </w:r>
      <w:r>
        <w:rPr>
          <w:rFonts w:ascii="Verdana" w:eastAsia="Verdana" w:hAnsi="Verdana" w:cs="Verdana"/>
          <w:sz w:val="20"/>
          <w:szCs w:val="20"/>
        </w:rPr>
        <w:lastRenderedPageBreak/>
        <w:t xml:space="preserve">y Nueva Floresta, </w:t>
      </w:r>
      <w:r>
        <w:rPr>
          <w:rFonts w:ascii="Verdana" w:eastAsia="Verdana" w:hAnsi="Verdana" w:cs="Verdana"/>
          <w:sz w:val="20"/>
          <w:szCs w:val="20"/>
        </w:rPr>
        <w:t xml:space="preserve">para la adecuación de infraestructura, como pudiera ser, la adecuación o mejoramiento de las viviendas </w:t>
      </w:r>
      <w:r w:rsidRPr="003C2A15">
        <w:rPr>
          <w:rFonts w:ascii="Verdana" w:eastAsia="Verdana" w:hAnsi="Verdana" w:cs="Verdana"/>
          <w:sz w:val="20"/>
          <w:szCs w:val="20"/>
          <w:shd w:val="clear" w:color="auto" w:fill="FFFFFF" w:themeFill="background1"/>
        </w:rPr>
        <w:t>ya existentes</w:t>
      </w:r>
      <w:r>
        <w:rPr>
          <w:rFonts w:ascii="Verdana" w:eastAsia="Verdana" w:hAnsi="Verdana" w:cs="Verdana"/>
          <w:sz w:val="20"/>
          <w:szCs w:val="20"/>
        </w:rPr>
        <w:t xml:space="preserve">, conceder las autorizaciones para la provisión de los servicios públicos domiciliarios (gas, luz eléctrica, agua potable y saneamiento básico) y el mantenimiento y adecuación de la infraestructura asociada a dichos servicios, así como la adecuación de vías conforme las técnicas compatibles con los Objetivos de Conservación del área y la menor alteración ambiental posible. </w:t>
      </w:r>
    </w:p>
    <w:p w14:paraId="000000D7"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D8"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sz w:val="20"/>
          <w:szCs w:val="20"/>
        </w:rPr>
        <w:t xml:space="preserve">Lo anterior en aplicación de los artículos 2, 5, 13, 51, 64 y 79 de la Constitución Política de 1991, el artículo 7 de la Ley 1955 de 2019 y el artículo 29 de la Ley 2294 de 2023.  </w:t>
      </w:r>
    </w:p>
    <w:p w14:paraId="000000D9"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DA" w14:textId="77777777"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PARÁGRAFO PRIMERO</w:t>
      </w:r>
      <w:r>
        <w:rPr>
          <w:rFonts w:ascii="Verdana" w:eastAsia="Verdana" w:hAnsi="Verdana" w:cs="Verdana"/>
          <w:sz w:val="20"/>
          <w:szCs w:val="20"/>
        </w:rPr>
        <w:t xml:space="preserve">. Los acuerdos que se suscriban se constituyen en una medida de manejo diferenciada desde un enfoque de gestión integral y participativo, y en cumplimiento de la normatividad ambiental, todas las actividades se deben subordinar a los objetivos de conservación del área protegida y a los usos definidos en la zonificación. </w:t>
      </w:r>
    </w:p>
    <w:p w14:paraId="000000DB"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DC" w14:textId="589A01AF"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PARÁGRAFO</w:t>
      </w:r>
      <w:r>
        <w:rPr>
          <w:rFonts w:ascii="Verdana" w:eastAsia="Verdana" w:hAnsi="Verdana" w:cs="Verdana"/>
          <w:sz w:val="20"/>
          <w:szCs w:val="20"/>
        </w:rPr>
        <w:t xml:space="preserve"> </w:t>
      </w:r>
      <w:r>
        <w:rPr>
          <w:rFonts w:ascii="Verdana" w:eastAsia="Verdana" w:hAnsi="Verdana" w:cs="Verdana"/>
          <w:b/>
          <w:sz w:val="20"/>
          <w:szCs w:val="20"/>
        </w:rPr>
        <w:t>SEGUNDO</w:t>
      </w:r>
      <w:r>
        <w:rPr>
          <w:rFonts w:ascii="Verdana" w:eastAsia="Verdana" w:hAnsi="Verdana" w:cs="Verdana"/>
          <w:sz w:val="20"/>
          <w:szCs w:val="20"/>
        </w:rPr>
        <w:t xml:space="preserve">. Estos acuerdos permitirán ordenar y regular los usos para mejorar el estado de conservación del área protegida, generar alternativas de usos compatibles con los objetivos de conservación y mejorar las condiciones de vida de la población garantizando sus derechos fundamentales, como lo señala el artículo 7 de la Ley 1955 de 2019. En el marco de sus competencias, Parques Nacionales Naturales de Colombia propenderá por una gestión articulada con otras autoridades e instituciones que coadyuven al </w:t>
      </w:r>
      <w:r w:rsidR="001212FA">
        <w:rPr>
          <w:rFonts w:ascii="Verdana" w:eastAsia="Verdana" w:hAnsi="Verdana" w:cs="Verdana"/>
          <w:sz w:val="20"/>
          <w:szCs w:val="20"/>
        </w:rPr>
        <w:t xml:space="preserve">cumplimiento de los </w:t>
      </w:r>
      <w:r w:rsidR="00141578">
        <w:rPr>
          <w:rFonts w:ascii="Verdana" w:eastAsia="Verdana" w:hAnsi="Verdana" w:cs="Verdana"/>
          <w:sz w:val="20"/>
          <w:szCs w:val="20"/>
        </w:rPr>
        <w:t xml:space="preserve">objetivos del plan de manejo y </w:t>
      </w:r>
      <w:r w:rsidR="00577807">
        <w:rPr>
          <w:rFonts w:ascii="Verdana" w:eastAsia="Verdana" w:hAnsi="Verdana" w:cs="Verdana"/>
          <w:sz w:val="20"/>
          <w:szCs w:val="20"/>
        </w:rPr>
        <w:t xml:space="preserve">el </w:t>
      </w:r>
      <w:r w:rsidR="00141578">
        <w:rPr>
          <w:rFonts w:ascii="Verdana" w:eastAsia="Verdana" w:hAnsi="Verdana" w:cs="Verdana"/>
          <w:sz w:val="20"/>
          <w:szCs w:val="20"/>
        </w:rPr>
        <w:t>mejoramiento de la calidad de vida de la población</w:t>
      </w:r>
      <w:r>
        <w:rPr>
          <w:rFonts w:ascii="Verdana" w:eastAsia="Verdana" w:hAnsi="Verdana" w:cs="Verdana"/>
          <w:sz w:val="20"/>
          <w:szCs w:val="20"/>
        </w:rPr>
        <w:t xml:space="preserve">. </w:t>
      </w:r>
    </w:p>
    <w:p w14:paraId="000000DD"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DE" w14:textId="37805A2B" w:rsidR="002B2554" w:rsidRDefault="004F2B40">
      <w:pPr>
        <w:widowControl w:val="0"/>
        <w:tabs>
          <w:tab w:val="left" w:pos="8460"/>
          <w:tab w:val="left" w:pos="9180"/>
        </w:tabs>
        <w:spacing w:after="0" w:line="240" w:lineRule="auto"/>
        <w:jc w:val="both"/>
        <w:rPr>
          <w:rFonts w:ascii="Verdana" w:eastAsia="Verdana" w:hAnsi="Verdana" w:cs="Verdana"/>
          <w:sz w:val="20"/>
          <w:szCs w:val="20"/>
        </w:rPr>
      </w:pPr>
      <w:r>
        <w:rPr>
          <w:rFonts w:ascii="Verdana" w:eastAsia="Verdana" w:hAnsi="Verdana" w:cs="Verdana"/>
          <w:b/>
          <w:sz w:val="20"/>
          <w:szCs w:val="20"/>
        </w:rPr>
        <w:t>PARÁGRAFO TERCERO.</w:t>
      </w:r>
      <w:r>
        <w:rPr>
          <w:rFonts w:ascii="Verdana" w:eastAsia="Verdana" w:hAnsi="Verdana" w:cs="Verdana"/>
          <w:sz w:val="20"/>
          <w:szCs w:val="20"/>
        </w:rPr>
        <w:t xml:space="preserve"> Los acuerdos no implican un cambio en el régimen de propiedad de las áreas ni su protección ambiental, por tanto, todas las actividades</w:t>
      </w:r>
      <w:r w:rsidR="002832AB">
        <w:rPr>
          <w:rFonts w:ascii="Verdana" w:eastAsia="Verdana" w:hAnsi="Verdana" w:cs="Verdana"/>
          <w:sz w:val="20"/>
          <w:szCs w:val="20"/>
        </w:rPr>
        <w:t xml:space="preserve">, </w:t>
      </w:r>
      <w:r>
        <w:rPr>
          <w:rFonts w:ascii="Verdana" w:eastAsia="Verdana" w:hAnsi="Verdana" w:cs="Verdana"/>
          <w:sz w:val="20"/>
          <w:szCs w:val="20"/>
        </w:rPr>
        <w:t xml:space="preserve">adecuaciones </w:t>
      </w:r>
      <w:r w:rsidRPr="002832AB">
        <w:rPr>
          <w:rFonts w:ascii="Verdana" w:eastAsia="Verdana" w:hAnsi="Verdana" w:cs="Verdana"/>
          <w:sz w:val="20"/>
          <w:szCs w:val="20"/>
        </w:rPr>
        <w:t>o mejoramiento</w:t>
      </w:r>
      <w:r w:rsidR="008E10E2">
        <w:rPr>
          <w:rFonts w:ascii="Verdana" w:eastAsia="Verdana" w:hAnsi="Verdana" w:cs="Verdana"/>
          <w:sz w:val="20"/>
          <w:szCs w:val="20"/>
        </w:rPr>
        <w:t xml:space="preserve"> de infraestructura</w:t>
      </w:r>
      <w:r w:rsidRPr="002832AB">
        <w:rPr>
          <w:rFonts w:ascii="Verdana" w:eastAsia="Verdana" w:hAnsi="Verdana" w:cs="Verdana"/>
          <w:sz w:val="20"/>
          <w:szCs w:val="20"/>
        </w:rPr>
        <w:t xml:space="preserve"> deberán ser previamente autorizadas por Parques Nacionales Naturales de </w:t>
      </w:r>
      <w:r>
        <w:rPr>
          <w:rFonts w:ascii="Verdana" w:eastAsia="Verdana" w:hAnsi="Verdana" w:cs="Verdana"/>
          <w:sz w:val="20"/>
          <w:szCs w:val="20"/>
        </w:rPr>
        <w:t xml:space="preserve">Colombia y someterse a las restricciones y condiciones exigidas por la normatividad aplicable. </w:t>
      </w:r>
    </w:p>
    <w:p w14:paraId="000000DF"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E0" w14:textId="77777777" w:rsidR="002B2554" w:rsidRDefault="004F2B40">
      <w:pPr>
        <w:widowControl w:val="0"/>
        <w:tabs>
          <w:tab w:val="left" w:pos="8460"/>
          <w:tab w:val="left" w:pos="9180"/>
        </w:tabs>
        <w:spacing w:after="0" w:line="240" w:lineRule="auto"/>
        <w:jc w:val="both"/>
        <w:rPr>
          <w:rFonts w:ascii="Verdana" w:eastAsia="Verdana" w:hAnsi="Verdana" w:cs="Verdana"/>
          <w:b/>
          <w:sz w:val="20"/>
          <w:szCs w:val="20"/>
        </w:rPr>
      </w:pPr>
      <w:r>
        <w:rPr>
          <w:rFonts w:ascii="Verdana" w:eastAsia="Verdana" w:hAnsi="Verdana" w:cs="Verdana"/>
          <w:b/>
          <w:sz w:val="20"/>
          <w:szCs w:val="20"/>
        </w:rPr>
        <w:t xml:space="preserve">ARTÍCULO 6. ZONIFICACIÓN. - </w:t>
      </w:r>
      <w:r>
        <w:rPr>
          <w:rFonts w:ascii="Verdana" w:eastAsia="Verdana" w:hAnsi="Verdana" w:cs="Verdana"/>
          <w:sz w:val="20"/>
          <w:szCs w:val="20"/>
        </w:rPr>
        <w:t xml:space="preserve">Según el documento Plan de Manejo del Santuario de Fauna y Flora Los Colorados, el área protegida tiene la siguiente zonificación con su intención de manejo, así: </w:t>
      </w:r>
    </w:p>
    <w:p w14:paraId="000000E1"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0E2" w14:textId="77777777" w:rsidR="002B2554" w:rsidRDefault="004F2B40">
      <w:pPr>
        <w:tabs>
          <w:tab w:val="center" w:pos="4420"/>
          <w:tab w:val="left" w:pos="6243"/>
        </w:tabs>
        <w:spacing w:after="0" w:line="240" w:lineRule="auto"/>
        <w:rPr>
          <w:rFonts w:ascii="Verdana" w:eastAsia="Verdana" w:hAnsi="Verdana" w:cs="Verdana"/>
          <w:b/>
          <w:sz w:val="20"/>
          <w:szCs w:val="20"/>
        </w:rPr>
      </w:pPr>
      <w:r>
        <w:rPr>
          <w:rFonts w:ascii="Verdana" w:eastAsia="Verdana" w:hAnsi="Verdana" w:cs="Verdana"/>
          <w:b/>
          <w:sz w:val="20"/>
          <w:szCs w:val="20"/>
        </w:rPr>
        <w:tab/>
        <w:t>Zona Primitiva – ZP</w:t>
      </w:r>
    </w:p>
    <w:p w14:paraId="000000E3" w14:textId="77777777" w:rsidR="002B2554" w:rsidRDefault="004F2B40">
      <w:pPr>
        <w:tabs>
          <w:tab w:val="center" w:pos="4420"/>
          <w:tab w:val="left" w:pos="6243"/>
        </w:tabs>
        <w:spacing w:after="0" w:line="240" w:lineRule="auto"/>
        <w:rPr>
          <w:rFonts w:ascii="Verdana" w:eastAsia="Verdana" w:hAnsi="Verdana" w:cs="Verdana"/>
          <w:b/>
          <w:sz w:val="20"/>
          <w:szCs w:val="20"/>
        </w:rPr>
      </w:pPr>
      <w:r>
        <w:rPr>
          <w:rFonts w:ascii="Verdana" w:eastAsia="Verdana" w:hAnsi="Verdana" w:cs="Verdana"/>
          <w:b/>
          <w:sz w:val="20"/>
          <w:szCs w:val="20"/>
        </w:rPr>
        <w:tab/>
      </w:r>
    </w:p>
    <w:tbl>
      <w:tblPr>
        <w:tblStyle w:val="a"/>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6593"/>
      </w:tblGrid>
      <w:tr w:rsidR="002B2554" w14:paraId="71DD8D62" w14:textId="77777777">
        <w:trPr>
          <w:trHeight w:val="647"/>
          <w:jc w:val="center"/>
        </w:trPr>
        <w:tc>
          <w:tcPr>
            <w:tcW w:w="2245" w:type="dxa"/>
            <w:vAlign w:val="center"/>
          </w:tcPr>
          <w:p w14:paraId="000000E4"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Descripción</w:t>
            </w:r>
          </w:p>
        </w:tc>
        <w:tc>
          <w:tcPr>
            <w:tcW w:w="6593" w:type="dxa"/>
            <w:vAlign w:val="center"/>
          </w:tcPr>
          <w:p w14:paraId="000000E5" w14:textId="48959F65"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La zona tiene 247,2 ha que equivale al 23,6% del </w:t>
            </w:r>
            <w:sdt>
              <w:sdtPr>
                <w:tag w:val="goog_rdk_10"/>
                <w:id w:val="1359126303"/>
              </w:sdtPr>
              <w:sdtEndPr/>
              <w:sdtContent/>
            </w:sdt>
            <w:r w:rsidR="008E10E2">
              <w:rPr>
                <w:rFonts w:ascii="Verdana" w:eastAsia="Verdana" w:hAnsi="Verdana" w:cs="Verdana"/>
                <w:sz w:val="20"/>
                <w:szCs w:val="20"/>
              </w:rPr>
              <w:t>Á</w:t>
            </w:r>
            <w:r>
              <w:rPr>
                <w:rFonts w:ascii="Verdana" w:eastAsia="Verdana" w:hAnsi="Verdana" w:cs="Verdana"/>
                <w:sz w:val="20"/>
                <w:szCs w:val="20"/>
              </w:rPr>
              <w:t xml:space="preserve">rea </w:t>
            </w:r>
            <w:r>
              <w:rPr>
                <w:rFonts w:ascii="Verdana" w:eastAsia="Verdana" w:hAnsi="Verdana" w:cs="Verdana"/>
                <w:sz w:val="20"/>
                <w:szCs w:val="20"/>
              </w:rPr>
              <w:t>Protegida, este sector se destaca por que se encuentran especies arbóreas con un  CAP mayor a 2 mt indicando que es un bosque maduro, y poblaciones de animales como el tigrillo, ocelote, pava congona, mono tití, puma, además provee servicios ecosistémicos como son: formación y fertilidad del suelo, hábitat, ciclo de nutrientes, valores paisajísticos, conocimiento, control biológico, polinización, protección ante desastres naturales, regulación climática, purificación del aire, captura y almacenamiento de ca</w:t>
            </w:r>
            <w:r>
              <w:rPr>
                <w:rFonts w:ascii="Verdana" w:eastAsia="Verdana" w:hAnsi="Verdana" w:cs="Verdana"/>
                <w:sz w:val="20"/>
                <w:szCs w:val="20"/>
              </w:rPr>
              <w:t xml:space="preserve">rbono y regulación del recurso hídrico. </w:t>
            </w:r>
          </w:p>
          <w:p w14:paraId="000000E6" w14:textId="77777777" w:rsidR="002B2554" w:rsidRDefault="002B2554">
            <w:pPr>
              <w:spacing w:after="0" w:line="240" w:lineRule="auto"/>
              <w:jc w:val="both"/>
              <w:rPr>
                <w:rFonts w:ascii="Verdana" w:eastAsia="Verdana" w:hAnsi="Verdana" w:cs="Verdana"/>
                <w:sz w:val="20"/>
                <w:szCs w:val="20"/>
              </w:rPr>
            </w:pPr>
          </w:p>
        </w:tc>
      </w:tr>
      <w:tr w:rsidR="002B2554" w14:paraId="5B85E8CD" w14:textId="77777777">
        <w:trPr>
          <w:trHeight w:val="647"/>
          <w:jc w:val="center"/>
        </w:trPr>
        <w:tc>
          <w:tcPr>
            <w:tcW w:w="2245" w:type="dxa"/>
            <w:vAlign w:val="center"/>
          </w:tcPr>
          <w:p w14:paraId="000000E7"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Límites</w:t>
            </w:r>
          </w:p>
        </w:tc>
        <w:tc>
          <w:tcPr>
            <w:tcW w:w="6593" w:type="dxa"/>
            <w:vAlign w:val="center"/>
          </w:tcPr>
          <w:p w14:paraId="000000E8"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Denominado </w:t>
            </w:r>
            <w:r>
              <w:rPr>
                <w:rFonts w:ascii="Verdana" w:eastAsia="Verdana" w:hAnsi="Verdana" w:cs="Verdana"/>
                <w:i/>
                <w:sz w:val="20"/>
                <w:szCs w:val="20"/>
              </w:rPr>
              <w:t>Sector Tinamú,</w:t>
            </w:r>
            <w:r>
              <w:rPr>
                <w:rFonts w:ascii="Verdana" w:eastAsia="Verdana" w:hAnsi="Verdana" w:cs="Verdana"/>
                <w:b/>
                <w:sz w:val="20"/>
                <w:szCs w:val="20"/>
              </w:rPr>
              <w:t xml:space="preserve"> </w:t>
            </w:r>
            <w:r>
              <w:rPr>
                <w:rFonts w:ascii="Verdana" w:eastAsia="Verdana" w:hAnsi="Verdana" w:cs="Verdana"/>
                <w:sz w:val="20"/>
                <w:szCs w:val="20"/>
              </w:rPr>
              <w:t>limita al oeste con el sector fincas del occidente del área protegida, al este con el sector Vivero, al norte con el punto bajo el cerezo (límite del arroyo Salvador) y al sur con el arroyo Los Cacaos, adyacente a la Finca la Gloria.</w:t>
            </w:r>
          </w:p>
          <w:p w14:paraId="000000E9" w14:textId="77777777" w:rsidR="002B2554" w:rsidRDefault="002B2554">
            <w:pPr>
              <w:spacing w:after="0" w:line="240" w:lineRule="auto"/>
              <w:jc w:val="both"/>
              <w:rPr>
                <w:rFonts w:ascii="Verdana" w:eastAsia="Verdana" w:hAnsi="Verdana" w:cs="Verdana"/>
                <w:sz w:val="20"/>
                <w:szCs w:val="20"/>
              </w:rPr>
            </w:pPr>
          </w:p>
        </w:tc>
      </w:tr>
      <w:tr w:rsidR="002B2554" w14:paraId="3B40F895" w14:textId="77777777">
        <w:trPr>
          <w:trHeight w:val="795"/>
          <w:jc w:val="center"/>
        </w:trPr>
        <w:tc>
          <w:tcPr>
            <w:tcW w:w="2245" w:type="dxa"/>
            <w:vAlign w:val="center"/>
          </w:tcPr>
          <w:p w14:paraId="000000EA"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lastRenderedPageBreak/>
              <w:t>Intención de manejo</w:t>
            </w:r>
          </w:p>
        </w:tc>
        <w:tc>
          <w:tcPr>
            <w:tcW w:w="6593" w:type="dxa"/>
            <w:vAlign w:val="center"/>
          </w:tcPr>
          <w:p w14:paraId="000000EB"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Mantener las condiciones naturales del ecosistema de Bosque Seco Tropical, favoreciendo la protección del hábitat de las especies Valor Objeto de Conservación del santuario y la generación de información para la toma de decisiones del área.</w:t>
            </w:r>
          </w:p>
          <w:p w14:paraId="000000EC" w14:textId="77777777" w:rsidR="002B2554" w:rsidRDefault="002B2554">
            <w:pPr>
              <w:spacing w:after="0" w:line="240" w:lineRule="auto"/>
              <w:jc w:val="both"/>
              <w:rPr>
                <w:rFonts w:ascii="Verdana" w:eastAsia="Verdana" w:hAnsi="Verdana" w:cs="Verdana"/>
                <w:sz w:val="20"/>
                <w:szCs w:val="20"/>
              </w:rPr>
            </w:pPr>
          </w:p>
        </w:tc>
      </w:tr>
    </w:tbl>
    <w:p w14:paraId="000000ED" w14:textId="77777777" w:rsidR="002B2554" w:rsidRDefault="002B2554">
      <w:pPr>
        <w:spacing w:after="0" w:line="240" w:lineRule="auto"/>
        <w:jc w:val="both"/>
        <w:rPr>
          <w:rFonts w:ascii="Verdana" w:eastAsia="Verdana" w:hAnsi="Verdana" w:cs="Verdana"/>
          <w:sz w:val="20"/>
          <w:szCs w:val="20"/>
        </w:rPr>
      </w:pPr>
    </w:p>
    <w:p w14:paraId="000000EE" w14:textId="77777777" w:rsidR="002B2554" w:rsidRDefault="004F2B40">
      <w:pPr>
        <w:spacing w:after="0" w:line="240" w:lineRule="auto"/>
        <w:ind w:hanging="2"/>
        <w:jc w:val="center"/>
        <w:rPr>
          <w:rFonts w:ascii="Verdana" w:eastAsia="Verdana" w:hAnsi="Verdana" w:cs="Verdana"/>
          <w:b/>
          <w:sz w:val="20"/>
          <w:szCs w:val="20"/>
        </w:rPr>
      </w:pPr>
      <w:r>
        <w:rPr>
          <w:rFonts w:ascii="Verdana" w:eastAsia="Verdana" w:hAnsi="Verdana" w:cs="Verdana"/>
          <w:b/>
          <w:sz w:val="20"/>
          <w:szCs w:val="20"/>
        </w:rPr>
        <w:t>Zona de Recreación General Exterior – ZRGE</w:t>
      </w:r>
    </w:p>
    <w:p w14:paraId="000000EF" w14:textId="77777777" w:rsidR="002B2554" w:rsidRDefault="002B2554">
      <w:pPr>
        <w:spacing w:after="0" w:line="240" w:lineRule="auto"/>
        <w:ind w:hanging="2"/>
        <w:jc w:val="center"/>
        <w:rPr>
          <w:rFonts w:ascii="Verdana" w:eastAsia="Verdana" w:hAnsi="Verdana" w:cs="Verdana"/>
          <w:b/>
          <w:sz w:val="20"/>
          <w:szCs w:val="20"/>
        </w:rPr>
      </w:pPr>
    </w:p>
    <w:tbl>
      <w:tblPr>
        <w:tblStyle w:val="a0"/>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468D4C7D" w14:textId="77777777">
        <w:trPr>
          <w:trHeight w:val="647"/>
          <w:jc w:val="center"/>
        </w:trPr>
        <w:tc>
          <w:tcPr>
            <w:tcW w:w="2263" w:type="dxa"/>
            <w:vAlign w:val="center"/>
          </w:tcPr>
          <w:p w14:paraId="000000F0"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Descripción</w:t>
            </w:r>
          </w:p>
        </w:tc>
        <w:tc>
          <w:tcPr>
            <w:tcW w:w="6575" w:type="dxa"/>
            <w:vAlign w:val="center"/>
          </w:tcPr>
          <w:p w14:paraId="000000F1"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La zona tiene 1,2 ha equivalente al 0,1% del área del santuario, este sector en su zona adyacente presenta procesos de recuperación natural característico por la presencia vegetación secundaria, la cual ha venido recuperándose desde la creación del santuario, tiene especies de flora sobresalientes como el carreto, basil, ébano, caracolí, resbala mono, guayacán y especies de fauna como mono tití, zorra patona, ñeque, oso perezoso, reptiles, aves residentes y migratorias. Los servicios ecosistémicos que se re</w:t>
            </w:r>
            <w:r>
              <w:rPr>
                <w:rFonts w:ascii="Verdana" w:eastAsia="Verdana" w:hAnsi="Verdana" w:cs="Verdana"/>
                <w:sz w:val="20"/>
                <w:szCs w:val="20"/>
              </w:rPr>
              <w:t>saltan son: Conocimiento, actividades recreativas, interpretación ambiental y valores paisajísticos.</w:t>
            </w:r>
          </w:p>
        </w:tc>
      </w:tr>
      <w:tr w:rsidR="002B2554" w14:paraId="35BC2184" w14:textId="77777777">
        <w:trPr>
          <w:trHeight w:val="647"/>
          <w:jc w:val="center"/>
        </w:trPr>
        <w:tc>
          <w:tcPr>
            <w:tcW w:w="2263" w:type="dxa"/>
            <w:vAlign w:val="center"/>
          </w:tcPr>
          <w:p w14:paraId="000000F2"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 xml:space="preserve">Límites </w:t>
            </w:r>
          </w:p>
        </w:tc>
        <w:tc>
          <w:tcPr>
            <w:tcW w:w="6575" w:type="dxa"/>
            <w:vAlign w:val="center"/>
          </w:tcPr>
          <w:p w14:paraId="000000F3"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Denominado </w:t>
            </w:r>
            <w:r>
              <w:rPr>
                <w:rFonts w:ascii="Verdana" w:eastAsia="Verdana" w:hAnsi="Verdana" w:cs="Verdana"/>
                <w:b/>
                <w:i/>
                <w:sz w:val="20"/>
                <w:szCs w:val="20"/>
              </w:rPr>
              <w:t>Sector Sendero Planeta Bosque</w:t>
            </w:r>
            <w:r>
              <w:rPr>
                <w:rFonts w:ascii="Verdana" w:eastAsia="Verdana" w:hAnsi="Verdana" w:cs="Verdana"/>
                <w:i/>
                <w:sz w:val="20"/>
                <w:szCs w:val="20"/>
              </w:rPr>
              <w:t>,</w:t>
            </w:r>
            <w:r>
              <w:rPr>
                <w:rFonts w:ascii="Verdana" w:eastAsia="Verdana" w:hAnsi="Verdana" w:cs="Verdana"/>
                <w:sz w:val="20"/>
                <w:szCs w:val="20"/>
              </w:rPr>
              <w:t xml:space="preserve"> limita al sur con el carreteable Los Cacaos, al este con el sector Tinamú y al norte con el sector Vivero. El estado de conservación de las zonas adyacentes al sendero es alto, por lo que durante los recorridos de interpretación ambiental se pueden observar especies de flora y fauna. El sendero mide 2.164 metros, su recorrido tiene una duración aproximada de 2 horas y media, en las que el guía explica sobre los servicios ecosistémicos, los Valores Objeto de Conservación, el es</w:t>
            </w:r>
            <w:r>
              <w:rPr>
                <w:rFonts w:ascii="Verdana" w:eastAsia="Verdana" w:hAnsi="Verdana" w:cs="Verdana"/>
                <w:sz w:val="20"/>
                <w:szCs w:val="20"/>
              </w:rPr>
              <w:t xml:space="preserve">tado del BsT y del cuidado de los recursos naturales, reportando aproximadamente 600 visitantes al año. </w:t>
            </w:r>
          </w:p>
          <w:p w14:paraId="000000F4" w14:textId="77777777" w:rsidR="002B2554" w:rsidRDefault="002B2554">
            <w:pPr>
              <w:spacing w:after="0" w:line="240" w:lineRule="auto"/>
              <w:jc w:val="both"/>
              <w:rPr>
                <w:rFonts w:ascii="Verdana" w:eastAsia="Verdana" w:hAnsi="Verdana" w:cs="Verdana"/>
                <w:sz w:val="20"/>
                <w:szCs w:val="20"/>
              </w:rPr>
            </w:pPr>
          </w:p>
        </w:tc>
      </w:tr>
      <w:tr w:rsidR="002B2554" w14:paraId="0D5E9115" w14:textId="77777777">
        <w:trPr>
          <w:trHeight w:val="795"/>
          <w:jc w:val="center"/>
        </w:trPr>
        <w:tc>
          <w:tcPr>
            <w:tcW w:w="2263" w:type="dxa"/>
            <w:vAlign w:val="center"/>
          </w:tcPr>
          <w:p w14:paraId="000000F5"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Intención de manejo</w:t>
            </w:r>
          </w:p>
        </w:tc>
        <w:tc>
          <w:tcPr>
            <w:tcW w:w="6575" w:type="dxa"/>
            <w:vAlign w:val="center"/>
          </w:tcPr>
          <w:p w14:paraId="000000F6"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Generar sentido de pertenencia y valoración de los beneficios del área protegida, a través de la estrategia de interpretación ambiental, fomentando una conexión directa con los visitantes del santuario.</w:t>
            </w:r>
          </w:p>
        </w:tc>
      </w:tr>
    </w:tbl>
    <w:p w14:paraId="000000F7" w14:textId="77777777" w:rsidR="002B2554" w:rsidRDefault="002B2554">
      <w:pPr>
        <w:spacing w:after="0" w:line="240" w:lineRule="auto"/>
        <w:jc w:val="both"/>
        <w:rPr>
          <w:rFonts w:ascii="Verdana" w:eastAsia="Verdana" w:hAnsi="Verdana" w:cs="Verdana"/>
          <w:sz w:val="20"/>
          <w:szCs w:val="20"/>
        </w:rPr>
      </w:pPr>
    </w:p>
    <w:p w14:paraId="000000F8" w14:textId="77777777" w:rsidR="002B2554" w:rsidRDefault="004F2B40">
      <w:pPr>
        <w:spacing w:after="0" w:line="240" w:lineRule="auto"/>
        <w:ind w:hanging="2"/>
        <w:jc w:val="center"/>
        <w:rPr>
          <w:rFonts w:ascii="Verdana" w:eastAsia="Verdana" w:hAnsi="Verdana" w:cs="Verdana"/>
          <w:b/>
          <w:sz w:val="20"/>
          <w:szCs w:val="20"/>
        </w:rPr>
      </w:pPr>
      <w:r>
        <w:rPr>
          <w:rFonts w:ascii="Verdana" w:eastAsia="Verdana" w:hAnsi="Verdana" w:cs="Verdana"/>
          <w:b/>
          <w:sz w:val="20"/>
          <w:szCs w:val="20"/>
        </w:rPr>
        <w:t>Zona de Recuperación Natural I - ZRN I</w:t>
      </w:r>
    </w:p>
    <w:p w14:paraId="000000F9" w14:textId="77777777" w:rsidR="002B2554" w:rsidRDefault="002B2554">
      <w:pPr>
        <w:spacing w:after="0" w:line="240" w:lineRule="auto"/>
        <w:ind w:hanging="2"/>
        <w:jc w:val="center"/>
        <w:rPr>
          <w:rFonts w:ascii="Verdana" w:eastAsia="Verdana" w:hAnsi="Verdana" w:cs="Verdana"/>
          <w:b/>
          <w:sz w:val="20"/>
          <w:szCs w:val="20"/>
        </w:rPr>
      </w:pPr>
    </w:p>
    <w:tbl>
      <w:tblPr>
        <w:tblStyle w:val="a1"/>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7FF09B15" w14:textId="77777777">
        <w:trPr>
          <w:trHeight w:val="647"/>
          <w:jc w:val="center"/>
        </w:trPr>
        <w:tc>
          <w:tcPr>
            <w:tcW w:w="2263" w:type="dxa"/>
            <w:vAlign w:val="center"/>
          </w:tcPr>
          <w:p w14:paraId="000000FA"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Descripción</w:t>
            </w:r>
          </w:p>
        </w:tc>
        <w:tc>
          <w:tcPr>
            <w:tcW w:w="6575" w:type="dxa"/>
            <w:vAlign w:val="center"/>
          </w:tcPr>
          <w:p w14:paraId="000000FB"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La zona tiene 435,9 has, equivalente al 41,6% del total del Santuario, este sector presenta varios estados de conservación, es así que en el sector noroccidental se puede evidenciar intervención del suelo por su utilización para la ganadería y la agricultura; presión que ha disminuido gracias al saneamiento predial por compensaciones ambientales, adicionalmente las actividades que se realizan  en el sector de barrios, han deteriorado la calidad ambiental por la inadecuada disposición de los residuos sólidos</w:t>
            </w:r>
            <w:r>
              <w:rPr>
                <w:rFonts w:ascii="Verdana" w:eastAsia="Verdana" w:hAnsi="Verdana" w:cs="Verdana"/>
                <w:sz w:val="20"/>
                <w:szCs w:val="20"/>
              </w:rPr>
              <w:t xml:space="preserve">, vertimiento de aguas residuales a los arroyos y la falta de un sistema de eliminación de excretas, y por el sector que limita con la zona primitiva o sector Tinamú </w:t>
            </w:r>
            <w:r>
              <w:rPr>
                <w:rFonts w:ascii="Verdana" w:eastAsia="Verdana" w:hAnsi="Verdana" w:cs="Verdana"/>
                <w:sz w:val="20"/>
                <w:szCs w:val="20"/>
              </w:rPr>
              <w:lastRenderedPageBreak/>
              <w:t xml:space="preserve">el estado de conservación es bueno, ya que se encuentra retirado de las fincas que estaban ubicadas en el sector noroccidental del santuario, presentando condiciones de bosque de borde. </w:t>
            </w:r>
          </w:p>
          <w:p w14:paraId="000000FC" w14:textId="77777777" w:rsidR="002B2554" w:rsidRDefault="002B2554">
            <w:pPr>
              <w:spacing w:after="0" w:line="240" w:lineRule="auto"/>
              <w:jc w:val="both"/>
              <w:rPr>
                <w:rFonts w:ascii="Verdana" w:eastAsia="Verdana" w:hAnsi="Verdana" w:cs="Verdana"/>
                <w:sz w:val="20"/>
                <w:szCs w:val="20"/>
              </w:rPr>
            </w:pPr>
          </w:p>
          <w:p w14:paraId="000000FD"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Los servicios ecosistémicos son: formación y fertilidad del suelo, hábitat, ciclo de nutrientes, valores paisajísticos, conocimiento, control biológico, polinización, protección ante desastres naturales, regulación climática, purificación del aire, captura y almacenamiento de carbono y regulación del recurso hídrico.    </w:t>
            </w:r>
          </w:p>
          <w:p w14:paraId="000000FE" w14:textId="77777777" w:rsidR="002B2554" w:rsidRDefault="002B2554">
            <w:pPr>
              <w:spacing w:after="0" w:line="240" w:lineRule="auto"/>
              <w:jc w:val="both"/>
              <w:rPr>
                <w:rFonts w:ascii="Verdana" w:eastAsia="Verdana" w:hAnsi="Verdana" w:cs="Verdana"/>
                <w:sz w:val="20"/>
                <w:szCs w:val="20"/>
              </w:rPr>
            </w:pPr>
          </w:p>
        </w:tc>
      </w:tr>
      <w:tr w:rsidR="002B2554" w14:paraId="4C7A6745" w14:textId="77777777">
        <w:trPr>
          <w:trHeight w:val="647"/>
          <w:jc w:val="center"/>
        </w:trPr>
        <w:tc>
          <w:tcPr>
            <w:tcW w:w="2263" w:type="dxa"/>
            <w:vAlign w:val="center"/>
          </w:tcPr>
          <w:p w14:paraId="000000FF"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lastRenderedPageBreak/>
              <w:t>Límites</w:t>
            </w:r>
          </w:p>
        </w:tc>
        <w:tc>
          <w:tcPr>
            <w:tcW w:w="6575" w:type="dxa"/>
            <w:vAlign w:val="center"/>
          </w:tcPr>
          <w:p w14:paraId="00000100"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Denominado </w:t>
            </w:r>
            <w:r>
              <w:rPr>
                <w:rFonts w:ascii="Verdana" w:eastAsia="Verdana" w:hAnsi="Verdana" w:cs="Verdana"/>
                <w:b/>
                <w:i/>
                <w:sz w:val="20"/>
                <w:szCs w:val="20"/>
              </w:rPr>
              <w:t>Sector Fincas</w:t>
            </w:r>
            <w:r>
              <w:rPr>
                <w:rFonts w:ascii="Verdana" w:eastAsia="Verdana" w:hAnsi="Verdana" w:cs="Verdana"/>
                <w:i/>
                <w:sz w:val="20"/>
                <w:szCs w:val="20"/>
              </w:rPr>
              <w:t>,</w:t>
            </w:r>
            <w:r>
              <w:rPr>
                <w:rFonts w:ascii="Verdana" w:eastAsia="Verdana" w:hAnsi="Verdana" w:cs="Verdana"/>
                <w:sz w:val="20"/>
                <w:szCs w:val="20"/>
              </w:rPr>
              <w:t xml:space="preserve"> Este sector incluye las fincas que avanzan en el proceso de saneamiento predial, el cual geográficamente limita con el carreteable Bajo Grande al occidente del área protegida, al sur con el arroyo los Cacaos en límites con la RNSC Los Titi de San Juan, al norte con el arroyo Salvador (camino Bajo Grande). Adicionalmente, hacia el norte se sitúan las fincas La Ñata, La Lucha, y La Hortaliza, que limitan al norte con el arroyo Salvador, pasando por inmediaciones del asentamiento Cerrito 2 y hac</w:t>
            </w:r>
            <w:r>
              <w:rPr>
                <w:rFonts w:ascii="Verdana" w:eastAsia="Verdana" w:hAnsi="Verdana" w:cs="Verdana"/>
                <w:sz w:val="20"/>
                <w:szCs w:val="20"/>
              </w:rPr>
              <w:t>ia el oriente limita con el barrio Palmira.</w:t>
            </w:r>
          </w:p>
          <w:p w14:paraId="00000101" w14:textId="77777777" w:rsidR="002B2554" w:rsidRDefault="002B2554">
            <w:pPr>
              <w:spacing w:after="0" w:line="240" w:lineRule="auto"/>
              <w:jc w:val="both"/>
              <w:rPr>
                <w:rFonts w:ascii="Verdana" w:eastAsia="Verdana" w:hAnsi="Verdana" w:cs="Verdana"/>
                <w:sz w:val="20"/>
                <w:szCs w:val="20"/>
              </w:rPr>
            </w:pPr>
          </w:p>
        </w:tc>
      </w:tr>
      <w:tr w:rsidR="002B2554" w14:paraId="0ED8989D" w14:textId="77777777">
        <w:trPr>
          <w:trHeight w:val="795"/>
          <w:jc w:val="center"/>
        </w:trPr>
        <w:tc>
          <w:tcPr>
            <w:tcW w:w="2263" w:type="dxa"/>
            <w:vAlign w:val="center"/>
          </w:tcPr>
          <w:p w14:paraId="00000102"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Intención de manejo</w:t>
            </w:r>
          </w:p>
        </w:tc>
        <w:tc>
          <w:tcPr>
            <w:tcW w:w="6575" w:type="dxa"/>
            <w:vAlign w:val="center"/>
          </w:tcPr>
          <w:p w14:paraId="00000103"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Disminuir la persistencia de las presiones de la zona, a partir de la recuperación de la red de conectividad ecológica Colorados – Cerro Maco - Reserva Forestal Protectora Serranía de Coraza y Los Colorados – María La Baja</w:t>
            </w:r>
          </w:p>
          <w:p w14:paraId="00000104" w14:textId="77777777" w:rsidR="002B2554" w:rsidRDefault="002B2554">
            <w:pPr>
              <w:spacing w:after="0" w:line="240" w:lineRule="auto"/>
              <w:ind w:hanging="2"/>
              <w:jc w:val="both"/>
              <w:rPr>
                <w:rFonts w:ascii="Verdana" w:eastAsia="Verdana" w:hAnsi="Verdana" w:cs="Verdana"/>
                <w:sz w:val="20"/>
                <w:szCs w:val="20"/>
              </w:rPr>
            </w:pPr>
          </w:p>
        </w:tc>
      </w:tr>
    </w:tbl>
    <w:p w14:paraId="00000105" w14:textId="77777777" w:rsidR="002B2554" w:rsidRDefault="002B2554">
      <w:pPr>
        <w:spacing w:after="0" w:line="240" w:lineRule="auto"/>
        <w:jc w:val="both"/>
        <w:rPr>
          <w:rFonts w:ascii="Verdana" w:eastAsia="Verdana" w:hAnsi="Verdana" w:cs="Verdana"/>
          <w:b/>
          <w:sz w:val="20"/>
          <w:szCs w:val="20"/>
        </w:rPr>
      </w:pPr>
    </w:p>
    <w:p w14:paraId="00000106" w14:textId="77777777" w:rsidR="002B2554" w:rsidRDefault="004F2B40">
      <w:pPr>
        <w:spacing w:after="0" w:line="240" w:lineRule="auto"/>
        <w:ind w:hanging="2"/>
        <w:jc w:val="center"/>
        <w:rPr>
          <w:rFonts w:ascii="Verdana" w:eastAsia="Verdana" w:hAnsi="Verdana" w:cs="Verdana"/>
          <w:b/>
          <w:sz w:val="20"/>
          <w:szCs w:val="20"/>
        </w:rPr>
      </w:pPr>
      <w:r>
        <w:rPr>
          <w:rFonts w:ascii="Verdana" w:eastAsia="Verdana" w:hAnsi="Verdana" w:cs="Verdana"/>
          <w:b/>
          <w:sz w:val="20"/>
          <w:szCs w:val="20"/>
        </w:rPr>
        <w:t>Zona de Recuperación Natural II - ZRN II</w:t>
      </w:r>
    </w:p>
    <w:p w14:paraId="00000107" w14:textId="77777777" w:rsidR="002B2554" w:rsidRDefault="002B2554">
      <w:pPr>
        <w:spacing w:after="0" w:line="240" w:lineRule="auto"/>
        <w:ind w:hanging="2"/>
        <w:jc w:val="center"/>
        <w:rPr>
          <w:rFonts w:ascii="Verdana" w:eastAsia="Verdana" w:hAnsi="Verdana" w:cs="Verdana"/>
          <w:b/>
          <w:sz w:val="20"/>
          <w:szCs w:val="20"/>
        </w:rPr>
      </w:pPr>
    </w:p>
    <w:tbl>
      <w:tblPr>
        <w:tblStyle w:val="a2"/>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26636AA5" w14:textId="77777777">
        <w:trPr>
          <w:trHeight w:val="647"/>
          <w:jc w:val="center"/>
        </w:trPr>
        <w:tc>
          <w:tcPr>
            <w:tcW w:w="2263" w:type="dxa"/>
            <w:vAlign w:val="center"/>
          </w:tcPr>
          <w:p w14:paraId="00000108"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Descripción</w:t>
            </w:r>
          </w:p>
        </w:tc>
        <w:tc>
          <w:tcPr>
            <w:tcW w:w="6575" w:type="dxa"/>
            <w:vAlign w:val="center"/>
          </w:tcPr>
          <w:p w14:paraId="00000109"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La zona tiene 346,8 has equivalente al 33,0% del área del santuario, los árboles que más se destacan de este sector tienen al menos 15 mts de altura, en especies como la Ceiba Leche y Tolua, Orejero, Chicho entre otros. En cuanto a especies de fauna silvestre se han observado tigrillo, ocelote, zaino, zorro perro, mapurito y venado, además de un alto movimiento de especies de aves hacia las reservas forestales municipales de Perico y Laguna las cuales se encuentran al sur este del sector. Los principales se</w:t>
            </w:r>
            <w:r>
              <w:rPr>
                <w:rFonts w:ascii="Verdana" w:eastAsia="Verdana" w:hAnsi="Verdana" w:cs="Verdana"/>
                <w:sz w:val="20"/>
                <w:szCs w:val="20"/>
              </w:rPr>
              <w:t>rvicios ecosistémicos identificados son los de formación y fertilidad del suelo, hábitat, ciclo de nutrientes, valores paisajísticos, conocimiento, control biológico, polinización, protección ante desastres naturales, regulación climática, purificación del aire, captura y almacenamiento de carbono y regulación hídrica.</w:t>
            </w:r>
          </w:p>
          <w:p w14:paraId="0000010A" w14:textId="77777777" w:rsidR="002B2554" w:rsidRDefault="002B2554">
            <w:pPr>
              <w:spacing w:after="0" w:line="240" w:lineRule="auto"/>
              <w:jc w:val="both"/>
              <w:rPr>
                <w:rFonts w:ascii="Verdana" w:eastAsia="Verdana" w:hAnsi="Verdana" w:cs="Verdana"/>
                <w:sz w:val="20"/>
                <w:szCs w:val="20"/>
              </w:rPr>
            </w:pPr>
          </w:p>
        </w:tc>
      </w:tr>
      <w:tr w:rsidR="002B2554" w14:paraId="4EFF0AD7" w14:textId="77777777">
        <w:trPr>
          <w:trHeight w:val="647"/>
          <w:jc w:val="center"/>
        </w:trPr>
        <w:tc>
          <w:tcPr>
            <w:tcW w:w="2263" w:type="dxa"/>
            <w:vAlign w:val="center"/>
          </w:tcPr>
          <w:p w14:paraId="0000010B"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 xml:space="preserve">Límites </w:t>
            </w:r>
          </w:p>
        </w:tc>
        <w:tc>
          <w:tcPr>
            <w:tcW w:w="6575" w:type="dxa"/>
            <w:vAlign w:val="center"/>
          </w:tcPr>
          <w:p w14:paraId="0000010C"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i/>
                <w:sz w:val="20"/>
                <w:szCs w:val="20"/>
              </w:rPr>
              <w:t xml:space="preserve">Denominado </w:t>
            </w:r>
            <w:r>
              <w:rPr>
                <w:rFonts w:ascii="Verdana" w:eastAsia="Verdana" w:hAnsi="Verdana" w:cs="Verdana"/>
                <w:b/>
                <w:i/>
                <w:sz w:val="20"/>
                <w:szCs w:val="20"/>
              </w:rPr>
              <w:t>Sector Vivero</w:t>
            </w:r>
            <w:r>
              <w:rPr>
                <w:rFonts w:ascii="Verdana" w:eastAsia="Verdana" w:hAnsi="Verdana" w:cs="Verdana"/>
                <w:i/>
                <w:sz w:val="20"/>
                <w:szCs w:val="20"/>
              </w:rPr>
              <w:t>,</w:t>
            </w:r>
            <w:r>
              <w:rPr>
                <w:rFonts w:ascii="Verdana" w:eastAsia="Verdana" w:hAnsi="Verdana" w:cs="Verdana"/>
                <w:sz w:val="20"/>
                <w:szCs w:val="20"/>
              </w:rPr>
              <w:t xml:space="preserve"> limita al norte con el carreteable La Ñata y con las fincas La Lucha y la Hortaliza, al occidente con el sector Tinamú, al este con la carretera Troncal de Occidente, al sur con el arroyo Los Cacaos (Finca Villa Roca).</w:t>
            </w:r>
          </w:p>
          <w:p w14:paraId="0000010D" w14:textId="77777777" w:rsidR="002B2554" w:rsidRDefault="002B2554">
            <w:pPr>
              <w:spacing w:after="0" w:line="240" w:lineRule="auto"/>
              <w:jc w:val="both"/>
              <w:rPr>
                <w:rFonts w:ascii="Verdana" w:eastAsia="Verdana" w:hAnsi="Verdana" w:cs="Verdana"/>
                <w:sz w:val="20"/>
                <w:szCs w:val="20"/>
              </w:rPr>
            </w:pPr>
          </w:p>
        </w:tc>
      </w:tr>
      <w:tr w:rsidR="002B2554" w14:paraId="294FBE36" w14:textId="77777777">
        <w:trPr>
          <w:trHeight w:val="795"/>
          <w:jc w:val="center"/>
        </w:trPr>
        <w:tc>
          <w:tcPr>
            <w:tcW w:w="2263" w:type="dxa"/>
            <w:vAlign w:val="center"/>
          </w:tcPr>
          <w:p w14:paraId="0000010E"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lastRenderedPageBreak/>
              <w:t>Intención de manejo</w:t>
            </w:r>
          </w:p>
        </w:tc>
        <w:tc>
          <w:tcPr>
            <w:tcW w:w="6575" w:type="dxa"/>
            <w:vAlign w:val="center"/>
          </w:tcPr>
          <w:p w14:paraId="0000010F"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 xml:space="preserve">Gestionar la conectividad en el corredor Colorados – Magdalena  </w:t>
            </w:r>
          </w:p>
        </w:tc>
      </w:tr>
    </w:tbl>
    <w:p w14:paraId="00000110" w14:textId="43DAA506" w:rsidR="002B2554" w:rsidRDefault="004F2B40" w:rsidP="00740E26">
      <w:pPr>
        <w:shd w:val="clear" w:color="auto" w:fill="FFFFFF" w:themeFill="background1"/>
        <w:spacing w:after="0" w:line="240" w:lineRule="auto"/>
        <w:rPr>
          <w:rFonts w:ascii="Verdana" w:eastAsia="Verdana" w:hAnsi="Verdana" w:cs="Verdana"/>
          <w:sz w:val="20"/>
          <w:szCs w:val="20"/>
          <w:shd w:val="clear" w:color="auto" w:fill="38761D"/>
        </w:rPr>
      </w:pPr>
      <w:sdt>
        <w:sdtPr>
          <w:tag w:val="goog_rdk_11"/>
          <w:id w:val="1855534632"/>
          <w:showingPlcHdr/>
        </w:sdtPr>
        <w:sdtEndPr/>
        <w:sdtContent>
          <w:r w:rsidR="006318D4">
            <w:t xml:space="preserve">     </w:t>
          </w:r>
        </w:sdtContent>
      </w:sdt>
    </w:p>
    <w:p w14:paraId="00000111" w14:textId="77777777" w:rsidR="002B2554" w:rsidRDefault="004F2B40" w:rsidP="00740E26">
      <w:pPr>
        <w:shd w:val="clear" w:color="auto" w:fill="FFFFFF" w:themeFill="background1"/>
        <w:spacing w:after="0" w:line="240" w:lineRule="auto"/>
        <w:jc w:val="center"/>
        <w:rPr>
          <w:rFonts w:ascii="Verdana" w:eastAsia="Verdana" w:hAnsi="Verdana" w:cs="Verdana"/>
          <w:b/>
          <w:sz w:val="20"/>
          <w:szCs w:val="20"/>
          <w:shd w:val="clear" w:color="auto" w:fill="38761D"/>
        </w:rPr>
      </w:pPr>
      <w:r w:rsidRPr="00740E26">
        <w:rPr>
          <w:rFonts w:ascii="Verdana" w:eastAsia="Verdana" w:hAnsi="Verdana" w:cs="Verdana"/>
          <w:b/>
          <w:sz w:val="20"/>
          <w:szCs w:val="20"/>
        </w:rPr>
        <w:t>Zona de Recuperación Natural III - ZRN III</w:t>
      </w:r>
    </w:p>
    <w:p w14:paraId="00000112" w14:textId="77777777" w:rsidR="002B2554" w:rsidRDefault="002B2554" w:rsidP="00740E26">
      <w:pPr>
        <w:shd w:val="clear" w:color="auto" w:fill="FFFFFF" w:themeFill="background1"/>
        <w:spacing w:after="0" w:line="240" w:lineRule="auto"/>
        <w:rPr>
          <w:rFonts w:ascii="Verdana" w:eastAsia="Verdana" w:hAnsi="Verdana" w:cs="Verdana"/>
          <w:sz w:val="20"/>
          <w:szCs w:val="20"/>
        </w:rPr>
      </w:pPr>
    </w:p>
    <w:tbl>
      <w:tblPr>
        <w:tblStyle w:val="a3"/>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1C7F2AE8" w14:textId="77777777">
        <w:trPr>
          <w:trHeight w:val="647"/>
          <w:jc w:val="center"/>
        </w:trPr>
        <w:tc>
          <w:tcPr>
            <w:tcW w:w="2263" w:type="dxa"/>
            <w:vAlign w:val="center"/>
          </w:tcPr>
          <w:p w14:paraId="00000113"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Descripción</w:t>
            </w:r>
          </w:p>
        </w:tc>
        <w:tc>
          <w:tcPr>
            <w:tcW w:w="6575" w:type="dxa"/>
            <w:vAlign w:val="center"/>
          </w:tcPr>
          <w:p w14:paraId="00000114"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La zona tiene 9,7 has equivalente al 0,9% del área del Santuario, en esta zona están ubicados los barrios Palmira y Nueva Floresta, además del asentamiento Cerrito 2. Los habitantes de esta zona pueden generar impactos sobre la cobertura vegetal, afectando las especies de flora y fauna, cambios en el paisaje, y cambios en las dinámicas naturales, presiones que se dan por la expansión habitacional y de servicios y por la generación de residuos sólidos y líquidos, que han generado interrupciones en la conecti</w:t>
            </w:r>
            <w:r>
              <w:rPr>
                <w:rFonts w:ascii="Verdana" w:eastAsia="Verdana" w:hAnsi="Verdana" w:cs="Verdana"/>
                <w:sz w:val="20"/>
                <w:szCs w:val="20"/>
              </w:rPr>
              <w:t>vidad biológica del Santuario y afectando negativamente el ecosistema boscoso en las zonas adyacentes de los barrios.</w:t>
            </w:r>
          </w:p>
          <w:p w14:paraId="00000115" w14:textId="77777777" w:rsidR="002B2554" w:rsidRDefault="002B2554">
            <w:pPr>
              <w:spacing w:after="0" w:line="240" w:lineRule="auto"/>
              <w:jc w:val="both"/>
              <w:rPr>
                <w:rFonts w:ascii="Verdana" w:eastAsia="Verdana" w:hAnsi="Verdana" w:cs="Verdana"/>
                <w:sz w:val="20"/>
                <w:szCs w:val="20"/>
              </w:rPr>
            </w:pPr>
          </w:p>
        </w:tc>
      </w:tr>
      <w:tr w:rsidR="002B2554" w14:paraId="559DBB41" w14:textId="77777777">
        <w:trPr>
          <w:trHeight w:val="647"/>
          <w:jc w:val="center"/>
        </w:trPr>
        <w:tc>
          <w:tcPr>
            <w:tcW w:w="2263" w:type="dxa"/>
            <w:vAlign w:val="center"/>
          </w:tcPr>
          <w:p w14:paraId="00000116"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 xml:space="preserve">Límites </w:t>
            </w:r>
          </w:p>
        </w:tc>
        <w:tc>
          <w:tcPr>
            <w:tcW w:w="6575" w:type="dxa"/>
            <w:vAlign w:val="center"/>
          </w:tcPr>
          <w:p w14:paraId="00000117" w14:textId="2E1042CC" w:rsidR="002B2554" w:rsidRDefault="004F2B40">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i/>
                <w:color w:val="000000"/>
                <w:sz w:val="20"/>
                <w:szCs w:val="20"/>
              </w:rPr>
              <w:t>Denominado</w:t>
            </w:r>
            <w:r>
              <w:rPr>
                <w:rFonts w:ascii="Verdana" w:eastAsia="Verdana" w:hAnsi="Verdana" w:cs="Verdana"/>
                <w:color w:val="000000"/>
                <w:sz w:val="20"/>
                <w:szCs w:val="20"/>
              </w:rPr>
              <w:t xml:space="preserve"> </w:t>
            </w:r>
            <w:r>
              <w:rPr>
                <w:rFonts w:ascii="Verdana" w:eastAsia="Verdana" w:hAnsi="Verdana" w:cs="Verdana"/>
                <w:b/>
                <w:i/>
                <w:color w:val="000000"/>
                <w:sz w:val="20"/>
                <w:szCs w:val="20"/>
              </w:rPr>
              <w:t>Sector Barrios</w:t>
            </w:r>
            <w:r w:rsidR="006D51E6">
              <w:rPr>
                <w:rFonts w:ascii="Verdana" w:eastAsia="Verdana" w:hAnsi="Verdana" w:cs="Verdana"/>
                <w:color w:val="000000"/>
                <w:sz w:val="20"/>
                <w:szCs w:val="20"/>
              </w:rPr>
              <w:t>.</w:t>
            </w:r>
            <w:r>
              <w:rPr>
                <w:rFonts w:ascii="Verdana" w:eastAsia="Verdana" w:hAnsi="Verdana" w:cs="Verdana"/>
                <w:color w:val="000000"/>
                <w:sz w:val="20"/>
                <w:szCs w:val="20"/>
              </w:rPr>
              <w:t xml:space="preserve"> Está constituido por un asentamiento y dos barrios. El asentamiento Cerrito 2 se encuentra situado al occidente de la finca La Lucha, al norte con el arroyo Salvador, al este con la finca La Hortaliza y al sur con el sector Vivero. El barrio Palmira limita al norte con el arroyo Salvador, al occidente con el sector Vivero y al oriente con la Carretera Troncal de Occidente. El barrio Nueva Floresta limita al norte con el Hotel La Montaña, al occidente con el sector Vivero, al este con la Troncal de Occident</w:t>
            </w:r>
            <w:r>
              <w:rPr>
                <w:rFonts w:ascii="Verdana" w:eastAsia="Verdana" w:hAnsi="Verdana" w:cs="Verdana"/>
                <w:color w:val="000000"/>
                <w:sz w:val="20"/>
                <w:szCs w:val="20"/>
              </w:rPr>
              <w:t>e y al sur con el sector Vivero (Carretera Troncal de Occidente).</w:t>
            </w:r>
          </w:p>
        </w:tc>
      </w:tr>
      <w:tr w:rsidR="002B2554" w14:paraId="1F259690" w14:textId="77777777">
        <w:trPr>
          <w:trHeight w:val="795"/>
          <w:jc w:val="center"/>
        </w:trPr>
        <w:tc>
          <w:tcPr>
            <w:tcW w:w="2263" w:type="dxa"/>
            <w:vAlign w:val="center"/>
          </w:tcPr>
          <w:p w14:paraId="00000118"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Intención de manejo</w:t>
            </w:r>
          </w:p>
        </w:tc>
        <w:tc>
          <w:tcPr>
            <w:tcW w:w="6575" w:type="dxa"/>
            <w:vAlign w:val="center"/>
          </w:tcPr>
          <w:p w14:paraId="0000011A" w14:textId="728CE06C" w:rsidR="002B2554" w:rsidRDefault="004F2B40" w:rsidP="005A7561">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Promover prácticas sostenibles con los barrios al interior del área protegida en el marco de los acuerdos comunitarios de conservación que se suscriban.</w:t>
            </w:r>
          </w:p>
        </w:tc>
      </w:tr>
    </w:tbl>
    <w:p w14:paraId="0000011B" w14:textId="77777777" w:rsidR="002B2554" w:rsidRDefault="002B2554">
      <w:pPr>
        <w:spacing w:after="0" w:line="240" w:lineRule="auto"/>
        <w:rPr>
          <w:rFonts w:ascii="Verdana" w:eastAsia="Verdana" w:hAnsi="Verdana" w:cs="Verdana"/>
          <w:sz w:val="20"/>
          <w:szCs w:val="20"/>
        </w:rPr>
      </w:pPr>
    </w:p>
    <w:p w14:paraId="0000011C" w14:textId="77777777" w:rsidR="002B2554" w:rsidRDefault="002B2554">
      <w:pPr>
        <w:spacing w:after="0" w:line="240" w:lineRule="auto"/>
        <w:rPr>
          <w:rFonts w:ascii="Verdana" w:eastAsia="Verdana" w:hAnsi="Verdana" w:cs="Verdana"/>
          <w:sz w:val="20"/>
          <w:szCs w:val="20"/>
        </w:rPr>
      </w:pPr>
    </w:p>
    <w:p w14:paraId="0000011D"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bookmarkStart w:id="1" w:name="_heading=h.xtm62798r3vq" w:colFirst="0" w:colLast="0"/>
      <w:bookmarkEnd w:id="1"/>
      <w:r>
        <w:rPr>
          <w:rFonts w:ascii="Verdana" w:eastAsia="Verdana" w:hAnsi="Verdana" w:cs="Verdana"/>
          <w:b/>
          <w:sz w:val="20"/>
          <w:szCs w:val="20"/>
        </w:rPr>
        <w:t xml:space="preserve">ARTÍCULO 7. USOS Y ACTIVIDADES PERMITIDAS. - </w:t>
      </w:r>
      <w:r>
        <w:rPr>
          <w:rFonts w:ascii="Verdana" w:eastAsia="Verdana" w:hAnsi="Verdana" w:cs="Verdana"/>
          <w:sz w:val="20"/>
          <w:szCs w:val="20"/>
        </w:rPr>
        <w:t xml:space="preserve">En la zonificación descrita en el artículo anterior se adelantarán las actividades derivadas de las medidas de manejo precisadas en el plan de manejo para cada zona, así como las actividades que se requieran por la Entidad en ejercicio de sus funciones de administración y manejo, o las que sean autorizadas a los particulares atendiendo el régimen que sea aplicable al uso o actividad respectiva. </w:t>
      </w:r>
    </w:p>
    <w:p w14:paraId="0000011E"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1F"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sz w:val="20"/>
          <w:szCs w:val="20"/>
        </w:rPr>
        <w:t xml:space="preserve">Los usos y actividades definidos para cada zona son: </w:t>
      </w:r>
    </w:p>
    <w:p w14:paraId="00000120" w14:textId="77777777" w:rsidR="002B2554" w:rsidRDefault="002B2554">
      <w:pPr>
        <w:widowControl w:val="0"/>
        <w:tabs>
          <w:tab w:val="left" w:pos="8460"/>
          <w:tab w:val="left" w:pos="9180"/>
        </w:tabs>
        <w:spacing w:after="0" w:line="240" w:lineRule="auto"/>
        <w:jc w:val="both"/>
        <w:rPr>
          <w:rFonts w:ascii="Verdana" w:eastAsia="Verdana" w:hAnsi="Verdana" w:cs="Verdana"/>
          <w:sz w:val="20"/>
          <w:szCs w:val="20"/>
        </w:rPr>
      </w:pPr>
    </w:p>
    <w:p w14:paraId="00000121" w14:textId="77777777" w:rsidR="002B2554" w:rsidRDefault="004F2B40">
      <w:pPr>
        <w:keepNext/>
        <w:pBdr>
          <w:top w:val="nil"/>
          <w:left w:val="nil"/>
          <w:bottom w:val="nil"/>
          <w:right w:val="nil"/>
          <w:between w:val="nil"/>
        </w:pBdr>
        <w:spacing w:after="0"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Zona Primitiva – ZP</w:t>
      </w:r>
    </w:p>
    <w:tbl>
      <w:tblPr>
        <w:tblStyle w:val="a4"/>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6593"/>
      </w:tblGrid>
      <w:tr w:rsidR="002B2554" w14:paraId="000DE603" w14:textId="77777777">
        <w:trPr>
          <w:trHeight w:val="1001"/>
          <w:jc w:val="center"/>
        </w:trPr>
        <w:tc>
          <w:tcPr>
            <w:tcW w:w="2245" w:type="dxa"/>
            <w:vAlign w:val="center"/>
          </w:tcPr>
          <w:p w14:paraId="00000122"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Actividades permitidas</w:t>
            </w:r>
          </w:p>
        </w:tc>
        <w:tc>
          <w:tcPr>
            <w:tcW w:w="6593" w:type="dxa"/>
            <w:vAlign w:val="center"/>
          </w:tcPr>
          <w:p w14:paraId="00000123"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Acciones de investigación y monitoreo para la biodiversidad, en articulación con el portafolio de investigaciones y programa de monitoreo del área protegida.</w:t>
            </w:r>
          </w:p>
          <w:p w14:paraId="00000124" w14:textId="77777777" w:rsidR="002B2554" w:rsidRDefault="002B2554">
            <w:pPr>
              <w:spacing w:after="0" w:line="240" w:lineRule="auto"/>
              <w:ind w:hanging="2"/>
              <w:jc w:val="both"/>
              <w:rPr>
                <w:rFonts w:ascii="Verdana" w:eastAsia="Verdana" w:hAnsi="Verdana" w:cs="Verdana"/>
                <w:sz w:val="20"/>
                <w:szCs w:val="20"/>
              </w:rPr>
            </w:pPr>
          </w:p>
        </w:tc>
      </w:tr>
    </w:tbl>
    <w:p w14:paraId="00000125" w14:textId="77777777" w:rsidR="002B2554" w:rsidRDefault="002B2554">
      <w:pPr>
        <w:pStyle w:val="Ttulo3"/>
        <w:keepNext w:val="0"/>
        <w:keepLines w:val="0"/>
        <w:spacing w:before="0" w:line="240" w:lineRule="auto"/>
        <w:rPr>
          <w:rFonts w:ascii="Verdana" w:eastAsia="Verdana" w:hAnsi="Verdana" w:cs="Verdana"/>
          <w:b/>
          <w:color w:val="000000"/>
          <w:sz w:val="20"/>
          <w:szCs w:val="20"/>
        </w:rPr>
      </w:pPr>
    </w:p>
    <w:p w14:paraId="00000126" w14:textId="77777777" w:rsidR="002B2554" w:rsidRDefault="004F2B40">
      <w:pPr>
        <w:spacing w:after="0" w:line="240" w:lineRule="auto"/>
        <w:jc w:val="center"/>
        <w:rPr>
          <w:rFonts w:ascii="Verdana" w:eastAsia="Verdana" w:hAnsi="Verdana" w:cs="Verdana"/>
          <w:sz w:val="20"/>
          <w:szCs w:val="20"/>
        </w:rPr>
      </w:pPr>
      <w:r>
        <w:rPr>
          <w:rFonts w:ascii="Verdana" w:eastAsia="Verdana" w:hAnsi="Verdana" w:cs="Verdana"/>
          <w:b/>
          <w:sz w:val="20"/>
          <w:szCs w:val="20"/>
        </w:rPr>
        <w:t>Zona de Recreación General Exterior – ZRGE</w:t>
      </w:r>
    </w:p>
    <w:tbl>
      <w:tblPr>
        <w:tblStyle w:val="a5"/>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303DB072" w14:textId="77777777">
        <w:trPr>
          <w:trHeight w:val="1001"/>
          <w:jc w:val="center"/>
        </w:trPr>
        <w:tc>
          <w:tcPr>
            <w:tcW w:w="2263" w:type="dxa"/>
            <w:vAlign w:val="center"/>
          </w:tcPr>
          <w:p w14:paraId="00000127"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lastRenderedPageBreak/>
              <w:t>Actividades permitidas</w:t>
            </w:r>
          </w:p>
        </w:tc>
        <w:tc>
          <w:tcPr>
            <w:tcW w:w="6575" w:type="dxa"/>
            <w:vAlign w:val="center"/>
          </w:tcPr>
          <w:p w14:paraId="00000128"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Desarrollo de la actividad de interpretación ambiental según lo establecido en el Plan de Ordenamiento Ecoturístico (POE).</w:t>
            </w:r>
          </w:p>
          <w:p w14:paraId="00000129" w14:textId="77777777" w:rsidR="002B2554" w:rsidRDefault="002B2554">
            <w:pPr>
              <w:spacing w:after="0" w:line="240" w:lineRule="auto"/>
              <w:ind w:hanging="2"/>
              <w:jc w:val="both"/>
              <w:rPr>
                <w:rFonts w:ascii="Verdana" w:eastAsia="Verdana" w:hAnsi="Verdana" w:cs="Verdana"/>
                <w:sz w:val="20"/>
                <w:szCs w:val="20"/>
              </w:rPr>
            </w:pPr>
          </w:p>
          <w:p w14:paraId="0000012A"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Acciones de investigación y monitoreo del BsT y la biodiversidad, en articulación con el Portafolio de Investigaciones y Programa de Monitoreo del Área Protegida.</w:t>
            </w:r>
          </w:p>
          <w:p w14:paraId="0000012B" w14:textId="77777777" w:rsidR="002B2554" w:rsidRDefault="002B2554">
            <w:pPr>
              <w:spacing w:after="0" w:line="240" w:lineRule="auto"/>
              <w:ind w:hanging="2"/>
              <w:jc w:val="both"/>
              <w:rPr>
                <w:rFonts w:ascii="Verdana" w:eastAsia="Verdana" w:hAnsi="Verdana" w:cs="Verdana"/>
                <w:sz w:val="20"/>
                <w:szCs w:val="20"/>
              </w:rPr>
            </w:pPr>
          </w:p>
          <w:p w14:paraId="0000012C"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Instalación y mantenimiento de infraestructura y señalización siguiendo los lineamientos institucionales y en coordinación con el área protegida.</w:t>
            </w:r>
          </w:p>
          <w:p w14:paraId="0000012D" w14:textId="77777777" w:rsidR="002B2554" w:rsidRDefault="002B2554">
            <w:pPr>
              <w:spacing w:after="0" w:line="240" w:lineRule="auto"/>
              <w:ind w:hanging="2"/>
              <w:jc w:val="both"/>
              <w:rPr>
                <w:rFonts w:ascii="Verdana" w:eastAsia="Verdana" w:hAnsi="Verdana" w:cs="Verdana"/>
                <w:sz w:val="20"/>
                <w:szCs w:val="20"/>
              </w:rPr>
            </w:pPr>
          </w:p>
        </w:tc>
      </w:tr>
    </w:tbl>
    <w:p w14:paraId="0000012E" w14:textId="77777777" w:rsidR="002B2554" w:rsidRDefault="002B2554">
      <w:pPr>
        <w:pStyle w:val="Ttulo3"/>
        <w:keepNext w:val="0"/>
        <w:keepLines w:val="0"/>
        <w:spacing w:before="0" w:line="240" w:lineRule="auto"/>
        <w:jc w:val="center"/>
        <w:rPr>
          <w:rFonts w:ascii="Verdana" w:eastAsia="Verdana" w:hAnsi="Verdana" w:cs="Verdana"/>
          <w:b/>
          <w:color w:val="000000"/>
          <w:sz w:val="20"/>
          <w:szCs w:val="20"/>
        </w:rPr>
      </w:pPr>
    </w:p>
    <w:p w14:paraId="0000012F" w14:textId="77777777" w:rsidR="002B2554" w:rsidRDefault="004F2B40">
      <w:pPr>
        <w:spacing w:after="0" w:line="240" w:lineRule="auto"/>
        <w:jc w:val="center"/>
        <w:rPr>
          <w:rFonts w:ascii="Verdana" w:eastAsia="Verdana" w:hAnsi="Verdana" w:cs="Verdana"/>
          <w:b/>
          <w:sz w:val="20"/>
          <w:szCs w:val="20"/>
        </w:rPr>
      </w:pPr>
      <w:r>
        <w:rPr>
          <w:rFonts w:ascii="Verdana" w:eastAsia="Verdana" w:hAnsi="Verdana" w:cs="Verdana"/>
          <w:b/>
          <w:sz w:val="20"/>
          <w:szCs w:val="20"/>
        </w:rPr>
        <w:t>Zona de Recuperación Natural I - ZRN I</w:t>
      </w:r>
    </w:p>
    <w:p w14:paraId="00000130" w14:textId="77777777" w:rsidR="002B2554" w:rsidRDefault="002B2554">
      <w:pPr>
        <w:spacing w:after="0" w:line="240" w:lineRule="auto"/>
        <w:jc w:val="center"/>
        <w:rPr>
          <w:rFonts w:ascii="Verdana" w:eastAsia="Verdana" w:hAnsi="Verdana" w:cs="Verdana"/>
          <w:b/>
          <w:sz w:val="20"/>
          <w:szCs w:val="20"/>
        </w:rPr>
      </w:pPr>
    </w:p>
    <w:tbl>
      <w:tblPr>
        <w:tblStyle w:val="a6"/>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20A4AD60" w14:textId="77777777">
        <w:trPr>
          <w:trHeight w:val="1001"/>
          <w:jc w:val="center"/>
        </w:trPr>
        <w:tc>
          <w:tcPr>
            <w:tcW w:w="2263" w:type="dxa"/>
            <w:vAlign w:val="center"/>
          </w:tcPr>
          <w:p w14:paraId="00000131"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Actividades permitidas</w:t>
            </w:r>
          </w:p>
        </w:tc>
        <w:tc>
          <w:tcPr>
            <w:tcW w:w="6575" w:type="dxa"/>
            <w:vAlign w:val="center"/>
          </w:tcPr>
          <w:p w14:paraId="00000132"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Acciones de investigación y monitoreo para la biodiversidad, en articulación con el portafolio de investigaciones y programa de monitoreo del área protegida.</w:t>
            </w:r>
          </w:p>
          <w:p w14:paraId="00000133" w14:textId="77777777" w:rsidR="002B2554" w:rsidRDefault="002B2554">
            <w:pPr>
              <w:spacing w:after="0" w:line="240" w:lineRule="auto"/>
              <w:jc w:val="both"/>
              <w:rPr>
                <w:rFonts w:ascii="Verdana" w:eastAsia="Verdana" w:hAnsi="Verdana" w:cs="Verdana"/>
                <w:sz w:val="20"/>
                <w:szCs w:val="20"/>
              </w:rPr>
            </w:pPr>
          </w:p>
          <w:p w14:paraId="00000134"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Instalación y mantenimiento de </w:t>
            </w:r>
            <w:sdt>
              <w:sdtPr>
                <w:tag w:val="goog_rdk_12"/>
                <w:id w:val="-336863294"/>
              </w:sdtPr>
              <w:sdtEndPr/>
              <w:sdtContent/>
            </w:sdt>
            <w:r w:rsidRPr="005A7561">
              <w:rPr>
                <w:rFonts w:ascii="Verdana" w:eastAsia="Verdana" w:hAnsi="Verdana" w:cs="Verdana"/>
                <w:sz w:val="20"/>
                <w:szCs w:val="20"/>
              </w:rPr>
              <w:t>infraestructura</w:t>
            </w:r>
            <w:r>
              <w:rPr>
                <w:rFonts w:ascii="Verdana" w:eastAsia="Verdana" w:hAnsi="Verdana" w:cs="Verdana"/>
                <w:sz w:val="20"/>
                <w:szCs w:val="20"/>
              </w:rPr>
              <w:t xml:space="preserve"> y jagüeyes, siguiendo los lineamientos institucionales y en coordinación con el área protegida.</w:t>
            </w:r>
          </w:p>
          <w:p w14:paraId="00000135" w14:textId="77777777" w:rsidR="002B2554" w:rsidRDefault="002B2554">
            <w:pPr>
              <w:spacing w:after="0" w:line="240" w:lineRule="auto"/>
              <w:jc w:val="both"/>
              <w:rPr>
                <w:rFonts w:ascii="Verdana" w:eastAsia="Verdana" w:hAnsi="Verdana" w:cs="Verdana"/>
                <w:sz w:val="20"/>
                <w:szCs w:val="20"/>
              </w:rPr>
            </w:pPr>
          </w:p>
          <w:p w14:paraId="00000136"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Adecuación de la vía carreteable en el marco de los permisos otorgados por parques nacionales.</w:t>
            </w:r>
          </w:p>
        </w:tc>
      </w:tr>
    </w:tbl>
    <w:p w14:paraId="292C54E6" w14:textId="77777777" w:rsidR="005A7561" w:rsidRDefault="005A7561">
      <w:pPr>
        <w:spacing w:after="0" w:line="240" w:lineRule="auto"/>
        <w:jc w:val="center"/>
        <w:rPr>
          <w:rFonts w:ascii="Verdana" w:eastAsia="Verdana" w:hAnsi="Verdana" w:cs="Verdana"/>
          <w:b/>
          <w:sz w:val="20"/>
          <w:szCs w:val="20"/>
        </w:rPr>
      </w:pPr>
    </w:p>
    <w:p w14:paraId="00000137" w14:textId="0432BA93" w:rsidR="002B2554" w:rsidRDefault="004F2B40">
      <w:pPr>
        <w:spacing w:after="0" w:line="240" w:lineRule="auto"/>
        <w:jc w:val="center"/>
        <w:rPr>
          <w:rFonts w:ascii="Verdana" w:eastAsia="Verdana" w:hAnsi="Verdana" w:cs="Verdana"/>
          <w:b/>
          <w:sz w:val="20"/>
          <w:szCs w:val="20"/>
        </w:rPr>
      </w:pPr>
      <w:r>
        <w:rPr>
          <w:rFonts w:ascii="Verdana" w:eastAsia="Verdana" w:hAnsi="Verdana" w:cs="Verdana"/>
          <w:b/>
          <w:sz w:val="20"/>
          <w:szCs w:val="20"/>
        </w:rPr>
        <w:t>Zona de Recuperación Natural II - ZRN II</w:t>
      </w:r>
    </w:p>
    <w:p w14:paraId="00000138" w14:textId="77777777" w:rsidR="002B2554" w:rsidRDefault="002B2554">
      <w:pPr>
        <w:spacing w:after="0" w:line="240" w:lineRule="auto"/>
        <w:rPr>
          <w:rFonts w:ascii="Verdana" w:eastAsia="Verdana" w:hAnsi="Verdana" w:cs="Verdana"/>
          <w:sz w:val="20"/>
          <w:szCs w:val="20"/>
        </w:rPr>
      </w:pPr>
    </w:p>
    <w:tbl>
      <w:tblPr>
        <w:tblStyle w:val="a7"/>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689BF7BE" w14:textId="77777777">
        <w:trPr>
          <w:trHeight w:val="1001"/>
          <w:jc w:val="center"/>
        </w:trPr>
        <w:tc>
          <w:tcPr>
            <w:tcW w:w="2263" w:type="dxa"/>
            <w:vAlign w:val="center"/>
          </w:tcPr>
          <w:p w14:paraId="00000139"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Actividades permitidas</w:t>
            </w:r>
          </w:p>
        </w:tc>
        <w:tc>
          <w:tcPr>
            <w:tcW w:w="6575" w:type="dxa"/>
            <w:vAlign w:val="center"/>
          </w:tcPr>
          <w:p w14:paraId="0000013A"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Acciones de investigación y monitoreo para la biodiversidad, en articulación con el portafolio de investigaciones y programa de monitoreo del área protegida.</w:t>
            </w:r>
          </w:p>
          <w:p w14:paraId="0000013B" w14:textId="77777777" w:rsidR="002B2554" w:rsidRDefault="002B2554">
            <w:pPr>
              <w:spacing w:after="0" w:line="240" w:lineRule="auto"/>
              <w:ind w:hanging="2"/>
              <w:jc w:val="both"/>
              <w:rPr>
                <w:rFonts w:ascii="Verdana" w:eastAsia="Verdana" w:hAnsi="Verdana" w:cs="Verdana"/>
                <w:sz w:val="20"/>
                <w:szCs w:val="20"/>
              </w:rPr>
            </w:pPr>
          </w:p>
          <w:p w14:paraId="0000013C"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Instalación y mantenimiento de infraestructura y jagüeyes, siguiendo los lineamientos institucionales y en coordinación con el área protegida.</w:t>
            </w:r>
          </w:p>
          <w:p w14:paraId="0000013D" w14:textId="77777777" w:rsidR="002B2554" w:rsidRDefault="002B2554">
            <w:pPr>
              <w:spacing w:after="0" w:line="240" w:lineRule="auto"/>
              <w:ind w:hanging="2"/>
              <w:jc w:val="both"/>
              <w:rPr>
                <w:rFonts w:ascii="Verdana" w:eastAsia="Verdana" w:hAnsi="Verdana" w:cs="Verdana"/>
                <w:sz w:val="20"/>
                <w:szCs w:val="20"/>
              </w:rPr>
            </w:pPr>
          </w:p>
          <w:p w14:paraId="0000013E"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Adecuación de la vía carreteable en el marco de los permisos otorgados por parques nacionales.</w:t>
            </w:r>
          </w:p>
          <w:p w14:paraId="0000013F" w14:textId="77777777" w:rsidR="002B2554" w:rsidRDefault="002B2554">
            <w:pPr>
              <w:spacing w:after="0" w:line="240" w:lineRule="auto"/>
              <w:ind w:hanging="2"/>
              <w:jc w:val="both"/>
              <w:rPr>
                <w:rFonts w:ascii="Verdana" w:eastAsia="Verdana" w:hAnsi="Verdana" w:cs="Verdana"/>
                <w:sz w:val="20"/>
                <w:szCs w:val="20"/>
              </w:rPr>
            </w:pPr>
          </w:p>
        </w:tc>
      </w:tr>
    </w:tbl>
    <w:p w14:paraId="00000140" w14:textId="77777777" w:rsidR="002B2554" w:rsidRDefault="002B2554">
      <w:pPr>
        <w:widowControl w:val="0"/>
        <w:spacing w:after="0" w:line="240" w:lineRule="auto"/>
        <w:jc w:val="both"/>
        <w:rPr>
          <w:rFonts w:ascii="Verdana" w:eastAsia="Verdana" w:hAnsi="Verdana" w:cs="Verdana"/>
          <w:b/>
          <w:sz w:val="20"/>
          <w:szCs w:val="20"/>
        </w:rPr>
      </w:pPr>
    </w:p>
    <w:p w14:paraId="00000141" w14:textId="77777777" w:rsidR="002B2554" w:rsidRDefault="004F2B40">
      <w:pPr>
        <w:widowControl w:val="0"/>
        <w:spacing w:after="0" w:line="240" w:lineRule="auto"/>
        <w:jc w:val="center"/>
        <w:rPr>
          <w:rFonts w:ascii="Verdana" w:eastAsia="Verdana" w:hAnsi="Verdana" w:cs="Verdana"/>
          <w:b/>
          <w:sz w:val="20"/>
          <w:szCs w:val="20"/>
        </w:rPr>
      </w:pPr>
      <w:bookmarkStart w:id="2" w:name="_heading=h.7hx69stntpgb" w:colFirst="0" w:colLast="0"/>
      <w:bookmarkEnd w:id="2"/>
      <w:r>
        <w:rPr>
          <w:rFonts w:ascii="Verdana" w:eastAsia="Verdana" w:hAnsi="Verdana" w:cs="Verdana"/>
          <w:b/>
          <w:sz w:val="20"/>
          <w:szCs w:val="20"/>
        </w:rPr>
        <w:t>Zona de Recuperación Natural III - ZRN III</w:t>
      </w:r>
    </w:p>
    <w:p w14:paraId="00000142" w14:textId="77777777" w:rsidR="002B2554" w:rsidRDefault="002B2554">
      <w:pPr>
        <w:widowControl w:val="0"/>
        <w:spacing w:after="0" w:line="240" w:lineRule="auto"/>
        <w:jc w:val="center"/>
        <w:rPr>
          <w:rFonts w:ascii="Verdana" w:eastAsia="Verdana" w:hAnsi="Verdana" w:cs="Verdana"/>
          <w:b/>
          <w:sz w:val="20"/>
          <w:szCs w:val="20"/>
        </w:rPr>
      </w:pPr>
    </w:p>
    <w:tbl>
      <w:tblPr>
        <w:tblStyle w:val="a8"/>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575"/>
      </w:tblGrid>
      <w:tr w:rsidR="002B2554" w14:paraId="427C12E2" w14:textId="77777777">
        <w:trPr>
          <w:trHeight w:val="1001"/>
          <w:jc w:val="center"/>
        </w:trPr>
        <w:tc>
          <w:tcPr>
            <w:tcW w:w="2263" w:type="dxa"/>
            <w:vAlign w:val="center"/>
          </w:tcPr>
          <w:p w14:paraId="00000143" w14:textId="77777777" w:rsidR="002B2554" w:rsidRDefault="004F2B40">
            <w:pPr>
              <w:spacing w:after="0" w:line="240" w:lineRule="auto"/>
              <w:rPr>
                <w:rFonts w:ascii="Verdana" w:eastAsia="Verdana" w:hAnsi="Verdana" w:cs="Verdana"/>
                <w:b/>
                <w:sz w:val="20"/>
                <w:szCs w:val="20"/>
              </w:rPr>
            </w:pPr>
            <w:r>
              <w:rPr>
                <w:rFonts w:ascii="Verdana" w:eastAsia="Verdana" w:hAnsi="Verdana" w:cs="Verdana"/>
                <w:b/>
                <w:sz w:val="20"/>
                <w:szCs w:val="20"/>
              </w:rPr>
              <w:t>Actividades permitidas</w:t>
            </w:r>
          </w:p>
        </w:tc>
        <w:tc>
          <w:tcPr>
            <w:tcW w:w="6575" w:type="dxa"/>
            <w:vAlign w:val="center"/>
          </w:tcPr>
          <w:p w14:paraId="00000144" w14:textId="086E628D"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Concertación, formalización e implementación de los acuerdos que Parques Nacionales suscriba con las empresas, instituciones y las familias de los barrios Palmira y Nueva Floresta </w:t>
            </w:r>
            <w:r>
              <w:rPr>
                <w:rFonts w:ascii="Verdana" w:eastAsia="Verdana" w:hAnsi="Verdana" w:cs="Verdana"/>
                <w:sz w:val="20"/>
                <w:szCs w:val="20"/>
              </w:rPr>
              <w:t>y con el asentamiento Cerrito 2 en coordinación con el Área Protegida.</w:t>
            </w:r>
          </w:p>
          <w:p w14:paraId="00000145" w14:textId="77777777" w:rsidR="002B2554" w:rsidRDefault="002B2554">
            <w:pPr>
              <w:spacing w:after="0" w:line="240" w:lineRule="auto"/>
              <w:jc w:val="both"/>
              <w:rPr>
                <w:rFonts w:ascii="Verdana" w:eastAsia="Verdana" w:hAnsi="Verdana" w:cs="Verdana"/>
                <w:sz w:val="20"/>
                <w:szCs w:val="20"/>
              </w:rPr>
            </w:pPr>
          </w:p>
          <w:p w14:paraId="00000146"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Mantenimiento y adecuación de la servidumbre y las líneas de transmisión eléctricas en coordinación con el área protegida.</w:t>
            </w:r>
          </w:p>
          <w:p w14:paraId="00000147" w14:textId="77777777" w:rsidR="002B2554" w:rsidRDefault="002B2554">
            <w:pPr>
              <w:spacing w:after="0" w:line="240" w:lineRule="auto"/>
              <w:jc w:val="both"/>
              <w:rPr>
                <w:rFonts w:ascii="Verdana" w:eastAsia="Verdana" w:hAnsi="Verdana" w:cs="Verdana"/>
                <w:sz w:val="20"/>
                <w:szCs w:val="20"/>
              </w:rPr>
            </w:pPr>
          </w:p>
          <w:p w14:paraId="00000148" w14:textId="77777777" w:rsidR="002B2554" w:rsidRDefault="004F2B40">
            <w:pPr>
              <w:spacing w:after="0" w:line="240" w:lineRule="auto"/>
              <w:jc w:val="both"/>
              <w:rPr>
                <w:rFonts w:ascii="Verdana" w:eastAsia="Verdana" w:hAnsi="Verdana" w:cs="Verdana"/>
                <w:sz w:val="20"/>
                <w:szCs w:val="20"/>
              </w:rPr>
            </w:pPr>
            <w:r>
              <w:rPr>
                <w:rFonts w:ascii="Verdana" w:eastAsia="Verdana" w:hAnsi="Verdana" w:cs="Verdana"/>
                <w:sz w:val="20"/>
                <w:szCs w:val="20"/>
              </w:rPr>
              <w:t>Implementación del portafolio de investigaciones y el programa de monitoreo definido por el área protegida.</w:t>
            </w:r>
          </w:p>
          <w:p w14:paraId="00000149" w14:textId="77777777" w:rsidR="002B2554" w:rsidRDefault="002B2554">
            <w:pPr>
              <w:spacing w:after="0" w:line="240" w:lineRule="auto"/>
              <w:jc w:val="both"/>
              <w:rPr>
                <w:rFonts w:ascii="Verdana" w:eastAsia="Verdana" w:hAnsi="Verdana" w:cs="Verdana"/>
                <w:sz w:val="20"/>
                <w:szCs w:val="20"/>
              </w:rPr>
            </w:pPr>
          </w:p>
          <w:p w14:paraId="0000014A" w14:textId="77777777" w:rsidR="002B2554" w:rsidRDefault="004F2B40">
            <w:pPr>
              <w:spacing w:after="0" w:line="240" w:lineRule="auto"/>
              <w:ind w:hanging="2"/>
              <w:jc w:val="both"/>
              <w:rPr>
                <w:rFonts w:ascii="Verdana" w:eastAsia="Verdana" w:hAnsi="Verdana" w:cs="Verdana"/>
                <w:sz w:val="20"/>
                <w:szCs w:val="20"/>
              </w:rPr>
            </w:pPr>
            <w:r>
              <w:rPr>
                <w:rFonts w:ascii="Verdana" w:eastAsia="Verdana" w:hAnsi="Verdana" w:cs="Verdana"/>
                <w:sz w:val="20"/>
                <w:szCs w:val="20"/>
              </w:rPr>
              <w:t>Acciones de rehabilitación y/o restauración ecológica en las zonas afectadas por la infraestructura habitacional y de servicios.</w:t>
            </w:r>
          </w:p>
          <w:p w14:paraId="0000014B" w14:textId="77777777" w:rsidR="002B2554" w:rsidRDefault="002B2554">
            <w:pPr>
              <w:spacing w:after="0" w:line="240" w:lineRule="auto"/>
              <w:ind w:hanging="2"/>
              <w:jc w:val="both"/>
              <w:rPr>
                <w:rFonts w:ascii="Verdana" w:eastAsia="Verdana" w:hAnsi="Verdana" w:cs="Verdana"/>
                <w:sz w:val="20"/>
                <w:szCs w:val="20"/>
              </w:rPr>
            </w:pPr>
          </w:p>
        </w:tc>
      </w:tr>
    </w:tbl>
    <w:p w14:paraId="0000014C" w14:textId="77777777" w:rsidR="002B2554" w:rsidRDefault="002B2554">
      <w:pPr>
        <w:widowControl w:val="0"/>
        <w:spacing w:after="0" w:line="240" w:lineRule="auto"/>
        <w:jc w:val="both"/>
        <w:rPr>
          <w:rFonts w:ascii="Verdana" w:eastAsia="Verdana" w:hAnsi="Verdana" w:cs="Verdana"/>
          <w:b/>
          <w:sz w:val="20"/>
          <w:szCs w:val="20"/>
        </w:rPr>
      </w:pPr>
    </w:p>
    <w:p w14:paraId="0000014D" w14:textId="62D9C12E" w:rsidR="002B2554" w:rsidRDefault="004F2B40">
      <w:pPr>
        <w:widowControl w:val="0"/>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PARÁGRAFO 1°. </w:t>
      </w:r>
      <w:r>
        <w:rPr>
          <w:rFonts w:ascii="Verdana" w:eastAsia="Verdana" w:hAnsi="Verdana" w:cs="Verdana"/>
          <w:sz w:val="20"/>
          <w:szCs w:val="20"/>
        </w:rPr>
        <w:t>Las actividades susceptibles de autorización y/o permisibles podrán adelantarse conforme el análisis técnico que se realice en el marco de la solicitud o proyecto</w:t>
      </w:r>
      <w:r w:rsidR="004F5C15">
        <w:rPr>
          <w:rFonts w:ascii="Verdana" w:eastAsia="Verdana" w:hAnsi="Verdana" w:cs="Verdana"/>
          <w:sz w:val="20"/>
          <w:szCs w:val="20"/>
        </w:rPr>
        <w:t xml:space="preserve"> y el concepto favorable de la Entidad. </w:t>
      </w:r>
    </w:p>
    <w:p w14:paraId="0000014E" w14:textId="77777777" w:rsidR="002B2554" w:rsidRDefault="002B2554">
      <w:pPr>
        <w:widowControl w:val="0"/>
        <w:spacing w:after="0" w:line="240" w:lineRule="auto"/>
        <w:jc w:val="both"/>
        <w:rPr>
          <w:rFonts w:ascii="Verdana" w:eastAsia="Verdana" w:hAnsi="Verdana" w:cs="Verdana"/>
          <w:sz w:val="20"/>
          <w:szCs w:val="20"/>
        </w:rPr>
      </w:pPr>
    </w:p>
    <w:p w14:paraId="0000014F"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PARÁGRAFO 2°. </w:t>
      </w:r>
      <w:r>
        <w:rPr>
          <w:rFonts w:ascii="Verdana" w:eastAsia="Verdana" w:hAnsi="Verdana" w:cs="Verdana"/>
          <w:sz w:val="20"/>
          <w:szCs w:val="20"/>
        </w:rPr>
        <w:t xml:space="preserve">Sólo se podrán realizar las actividades ecoturísticas, previa autorización de acuerdo con la capacidad de carga, adecuaciones de infraestructura, reglamentación, obligaciones, horarios, restricciones y demás disposiciones que se encuentran establecidas en el Plan de Manejo y en el Plan de Ordenamiento Ecoturístico – POE para el desarrollo de cada una de las actividades. </w:t>
      </w:r>
    </w:p>
    <w:p w14:paraId="00000150"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51"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8. ARTICULACIÓN ENTRE INSTRUMENTOS DE PLANEACIÓN. </w:t>
      </w:r>
      <w:r>
        <w:rPr>
          <w:rFonts w:ascii="Verdana" w:eastAsia="Verdana" w:hAnsi="Verdana" w:cs="Verdana"/>
          <w:sz w:val="20"/>
          <w:szCs w:val="20"/>
        </w:rPr>
        <w:t>Con el presente plan de manejo se acoge y es parte integral del mismo, el Plan de Ordenamiento Ecoturístico del Santuario de Fauna y Flora Los Colorados.</w:t>
      </w:r>
    </w:p>
    <w:p w14:paraId="00000153" w14:textId="77777777" w:rsidR="002B2554" w:rsidRDefault="002B2554">
      <w:pPr>
        <w:widowControl w:val="0"/>
        <w:tabs>
          <w:tab w:val="center" w:pos="510"/>
          <w:tab w:val="left" w:pos="1134"/>
        </w:tabs>
        <w:spacing w:after="0" w:line="240" w:lineRule="auto"/>
        <w:jc w:val="both"/>
        <w:rPr>
          <w:rFonts w:ascii="Verdana" w:eastAsia="Verdana" w:hAnsi="Verdana" w:cs="Verdana"/>
          <w:b/>
          <w:sz w:val="20"/>
          <w:szCs w:val="20"/>
        </w:rPr>
      </w:pPr>
    </w:p>
    <w:p w14:paraId="00000154"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9. PERMISOS, AUTORIZACIONES Y LICENCIAS. - </w:t>
      </w:r>
      <w:r>
        <w:rPr>
          <w:rFonts w:ascii="Verdana" w:eastAsia="Verdana" w:hAnsi="Verdana" w:cs="Verdana"/>
          <w:sz w:val="20"/>
          <w:szCs w:val="20"/>
        </w:rPr>
        <w:t xml:space="preserve">El uso y aprovechamiento del área y los recursos naturales renovables, deberá estar precedida de la obtención de concepto favorable, permisos, concesiones, licencias y demás autorizaciones a que haya lugar según la normatividad vigente, atendiendo a las intenciones de manejo, finalidades y condiciones de uso de la zonificación establecida. </w:t>
      </w:r>
    </w:p>
    <w:p w14:paraId="00000155"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56"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PARÁGRAFO</w:t>
      </w:r>
      <w:r>
        <w:rPr>
          <w:rFonts w:ascii="Verdana" w:eastAsia="Verdana" w:hAnsi="Verdana" w:cs="Verdana"/>
          <w:sz w:val="20"/>
          <w:szCs w:val="20"/>
        </w:rPr>
        <w:t>: Las actividades permitidas para cada una de las zonas descritas en el presente acto administrativo se podrán realizar, siempre y cuando no atenten contra los valores objeto de conservación del área protegida, no constituyan causa de alteraciones significativas al ambiente y den cumplimiento a los requisitos establecidos en los procedimientos de la Entidad.</w:t>
      </w:r>
    </w:p>
    <w:p w14:paraId="00000157" w14:textId="77777777" w:rsidR="002B2554" w:rsidRDefault="002B2554">
      <w:pPr>
        <w:widowControl w:val="0"/>
        <w:tabs>
          <w:tab w:val="center" w:pos="510"/>
          <w:tab w:val="left" w:pos="1134"/>
        </w:tabs>
        <w:spacing w:after="0" w:line="240" w:lineRule="auto"/>
        <w:jc w:val="both"/>
        <w:rPr>
          <w:rFonts w:ascii="Verdana" w:eastAsia="Verdana" w:hAnsi="Verdana" w:cs="Verdana"/>
          <w:b/>
          <w:sz w:val="20"/>
          <w:szCs w:val="20"/>
        </w:rPr>
      </w:pPr>
    </w:p>
    <w:p w14:paraId="00000159"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10. SEGUIMIENTO AL PLAN ESTRATÉGICO DE ACCIÓN. </w:t>
      </w:r>
      <w:r>
        <w:rPr>
          <w:rFonts w:ascii="Verdana" w:eastAsia="Verdana" w:hAnsi="Verdana" w:cs="Verdana"/>
          <w:sz w:val="20"/>
          <w:szCs w:val="20"/>
        </w:rPr>
        <w:t>El componente estratégico tendrá un seguimiento permanente a través de la herramienta diseñada para tal fin por la Subdirección de Gestión y Manejo. Considerando que el Plan Estratégico de Acción tendrá un seguimiento permanente, el Área Protegida realizará anualmente la programación de las metas y actividades para el año correspondiente, así como del presupuesto asociado a éstas, a través del Plan de Acción Anual, de acuerdo con los resultados alcanzados y los recursos ejecutados en la vigencia anterior, a</w:t>
      </w:r>
      <w:r>
        <w:rPr>
          <w:rFonts w:ascii="Verdana" w:eastAsia="Verdana" w:hAnsi="Verdana" w:cs="Verdana"/>
          <w:sz w:val="20"/>
          <w:szCs w:val="20"/>
        </w:rPr>
        <w:t>sí como los recursos asignados para la siguiente vigencia.</w:t>
      </w:r>
    </w:p>
    <w:p w14:paraId="0000015A"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5B" w14:textId="77777777" w:rsidR="002B2554" w:rsidRDefault="004F2B40">
      <w:pPr>
        <w:widowControl w:val="0"/>
        <w:shd w:val="clear" w:color="auto" w:fill="FFFFFF"/>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11. CUMPLIMIENTO DEL PLAN DE MANEJO. - </w:t>
      </w:r>
      <w:r>
        <w:rPr>
          <w:rFonts w:ascii="Verdana" w:eastAsia="Verdana" w:hAnsi="Verdana" w:cs="Verdana"/>
          <w:sz w:val="20"/>
          <w:szCs w:val="20"/>
        </w:rPr>
        <w:t xml:space="preserve">Las autoridades competentes del orden nacional, regional y local, así como los actores que intervengan al interior del Santuario de Fauna y Flora Los Colorados deberán acatar las disposiciones generadas en el Plan de Manejo, de conformidad con sus deberes, funciones y/o competencias establecidas en el ordenamiento jurídico. </w:t>
      </w:r>
    </w:p>
    <w:p w14:paraId="19846DA0" w14:textId="77777777" w:rsidR="004F2B40" w:rsidRDefault="004F2B40">
      <w:pPr>
        <w:widowControl w:val="0"/>
        <w:shd w:val="clear" w:color="auto" w:fill="FFFFFF"/>
        <w:tabs>
          <w:tab w:val="center" w:pos="510"/>
          <w:tab w:val="left" w:pos="1134"/>
        </w:tabs>
        <w:spacing w:after="0" w:line="240" w:lineRule="auto"/>
        <w:jc w:val="both"/>
        <w:rPr>
          <w:rFonts w:ascii="Verdana" w:eastAsia="Verdana" w:hAnsi="Verdana" w:cs="Verdana"/>
          <w:b/>
          <w:sz w:val="20"/>
          <w:szCs w:val="20"/>
        </w:rPr>
      </w:pPr>
    </w:p>
    <w:p w14:paraId="0000015C"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5D" w14:textId="3B0B1224"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12. COMUNICACIONES. - </w:t>
      </w:r>
      <w:sdt>
        <w:sdtPr>
          <w:tag w:val="goog_rdk_13"/>
          <w:id w:val="-338452263"/>
        </w:sdtPr>
        <w:sdtEndPr/>
        <w:sdtContent/>
      </w:sdt>
      <w:r w:rsidRPr="001E4D32">
        <w:rPr>
          <w:rFonts w:ascii="Verdana" w:eastAsia="Verdana" w:hAnsi="Verdana" w:cs="Verdana"/>
          <w:sz w:val="20"/>
          <w:szCs w:val="20"/>
        </w:rPr>
        <w:t xml:space="preserve">Comunicar el presente acto administrativo a </w:t>
      </w:r>
      <w:r>
        <w:rPr>
          <w:rFonts w:ascii="Verdana" w:eastAsia="Verdana" w:hAnsi="Verdana" w:cs="Verdana"/>
          <w:sz w:val="20"/>
          <w:szCs w:val="20"/>
        </w:rPr>
        <w:t xml:space="preserve">la Alcaldía Municipal de San Juan Nepomuceno, </w:t>
      </w:r>
      <w:r w:rsidR="00441CCB">
        <w:rPr>
          <w:rFonts w:ascii="Verdana" w:eastAsia="Verdana" w:hAnsi="Verdana" w:cs="Verdana"/>
          <w:sz w:val="20"/>
          <w:szCs w:val="20"/>
        </w:rPr>
        <w:t xml:space="preserve">a las Juntas de Acción Comunal de los Barrios Palmira y Nueva Floresta, </w:t>
      </w:r>
      <w:r>
        <w:rPr>
          <w:rFonts w:ascii="Verdana" w:eastAsia="Verdana" w:hAnsi="Verdana" w:cs="Verdana"/>
          <w:sz w:val="20"/>
          <w:szCs w:val="20"/>
        </w:rPr>
        <w:t xml:space="preserve">a la Gobernación de Bolívar, a la Procuraduría </w:t>
      </w:r>
      <w:r>
        <w:rPr>
          <w:rFonts w:ascii="Verdana" w:eastAsia="Verdana" w:hAnsi="Verdana" w:cs="Verdana"/>
          <w:sz w:val="20"/>
          <w:szCs w:val="20"/>
        </w:rPr>
        <w:lastRenderedPageBreak/>
        <w:t xml:space="preserve">Delegada para Asuntos Ambientales y Agrarios, a la Defensoría del Pueblo Regional Bolívar y </w:t>
      </w:r>
      <w:r>
        <w:rPr>
          <w:rFonts w:ascii="Verdana" w:eastAsia="Verdana" w:hAnsi="Verdana" w:cs="Verdana"/>
          <w:sz w:val="20"/>
          <w:szCs w:val="20"/>
        </w:rPr>
        <w:t>al Ministerio de Ambiente y Desarrollo Sostenible.</w:t>
      </w:r>
    </w:p>
    <w:p w14:paraId="0000015E"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5F"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b/>
          <w:sz w:val="20"/>
          <w:szCs w:val="20"/>
        </w:rPr>
        <w:t xml:space="preserve">ARTÍCULO 13. VIGENCIA Y PUBLICACIÓN. - </w:t>
      </w:r>
      <w:r>
        <w:rPr>
          <w:rFonts w:ascii="Verdana" w:eastAsia="Verdana" w:hAnsi="Verdana" w:cs="Verdana"/>
          <w:sz w:val="20"/>
          <w:szCs w:val="20"/>
        </w:rPr>
        <w:t xml:space="preserve">La presente Resolución rige a partir de la fecha de su expedición y publicación en el Diario Oficial. </w:t>
      </w:r>
    </w:p>
    <w:p w14:paraId="00000160"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61"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62" w14:textId="77777777" w:rsidR="002B2554" w:rsidRDefault="004F2B40">
      <w:pPr>
        <w:widowControl w:val="0"/>
        <w:tabs>
          <w:tab w:val="center" w:pos="510"/>
          <w:tab w:val="left" w:pos="1134"/>
        </w:tabs>
        <w:spacing w:after="0" w:line="240" w:lineRule="auto"/>
        <w:jc w:val="both"/>
        <w:rPr>
          <w:rFonts w:ascii="Verdana" w:eastAsia="Verdana" w:hAnsi="Verdana" w:cs="Verdana"/>
          <w:sz w:val="20"/>
          <w:szCs w:val="20"/>
        </w:rPr>
      </w:pPr>
      <w:r>
        <w:rPr>
          <w:rFonts w:ascii="Verdana" w:eastAsia="Verdana" w:hAnsi="Verdana" w:cs="Verdana"/>
          <w:sz w:val="20"/>
          <w:szCs w:val="20"/>
        </w:rPr>
        <w:t>Dada en Bogotá, D.C., a los XXX del mes XX del año XXX.</w:t>
      </w:r>
    </w:p>
    <w:p w14:paraId="00000163"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64" w14:textId="77777777" w:rsidR="002B2554" w:rsidRDefault="002B2554">
      <w:pPr>
        <w:widowControl w:val="0"/>
        <w:tabs>
          <w:tab w:val="center" w:pos="510"/>
          <w:tab w:val="left" w:pos="1134"/>
        </w:tabs>
        <w:spacing w:after="0" w:line="240" w:lineRule="auto"/>
        <w:jc w:val="both"/>
        <w:rPr>
          <w:rFonts w:ascii="Verdana" w:eastAsia="Verdana" w:hAnsi="Verdana" w:cs="Verdana"/>
          <w:sz w:val="20"/>
          <w:szCs w:val="20"/>
        </w:rPr>
      </w:pPr>
    </w:p>
    <w:p w14:paraId="00000165" w14:textId="77777777" w:rsidR="002B2554" w:rsidRDefault="002B2554">
      <w:pPr>
        <w:widowControl w:val="0"/>
        <w:spacing w:after="0" w:line="240" w:lineRule="auto"/>
        <w:jc w:val="center"/>
        <w:rPr>
          <w:rFonts w:ascii="Verdana" w:eastAsia="Verdana" w:hAnsi="Verdana" w:cs="Verdana"/>
          <w:b/>
          <w:sz w:val="20"/>
          <w:szCs w:val="20"/>
        </w:rPr>
      </w:pPr>
    </w:p>
    <w:p w14:paraId="00000166" w14:textId="77777777" w:rsidR="002B2554" w:rsidRDefault="004F2B40">
      <w:pPr>
        <w:widowControl w:val="0"/>
        <w:spacing w:after="0" w:line="240" w:lineRule="auto"/>
        <w:jc w:val="center"/>
        <w:rPr>
          <w:rFonts w:ascii="Verdana" w:eastAsia="Verdana" w:hAnsi="Verdana" w:cs="Verdana"/>
          <w:b/>
          <w:sz w:val="20"/>
          <w:szCs w:val="20"/>
        </w:rPr>
      </w:pPr>
      <w:r>
        <w:rPr>
          <w:rFonts w:ascii="Verdana" w:eastAsia="Verdana" w:hAnsi="Verdana" w:cs="Verdana"/>
          <w:b/>
          <w:sz w:val="20"/>
          <w:szCs w:val="20"/>
        </w:rPr>
        <w:t>PUBLIQUESE, COMUNÍQUESE Y CÚMPLASE</w:t>
      </w:r>
    </w:p>
    <w:p w14:paraId="00000167" w14:textId="77777777" w:rsidR="002B2554" w:rsidRDefault="002B2554">
      <w:pPr>
        <w:spacing w:after="0" w:line="240" w:lineRule="auto"/>
        <w:rPr>
          <w:rFonts w:ascii="Verdana" w:eastAsia="Verdana" w:hAnsi="Verdana" w:cs="Verdana"/>
          <w:sz w:val="20"/>
          <w:szCs w:val="20"/>
        </w:rPr>
      </w:pPr>
    </w:p>
    <w:sectPr w:rsidR="002B2554">
      <w:headerReference w:type="even" r:id="rId8"/>
      <w:headerReference w:type="default" r:id="rId9"/>
      <w:footerReference w:type="even" r:id="rId10"/>
      <w:footerReference w:type="default" r:id="rId11"/>
      <w:headerReference w:type="first" r:id="rId12"/>
      <w:footerReference w:type="first" r:id="rId13"/>
      <w:pgSz w:w="12242" w:h="18722"/>
      <w:pgMar w:top="2410" w:right="1469" w:bottom="1417" w:left="1701" w:header="708"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6C98B" w14:textId="77777777" w:rsidR="004F2B40" w:rsidRDefault="004F2B40">
      <w:pPr>
        <w:spacing w:after="0" w:line="240" w:lineRule="auto"/>
      </w:pPr>
      <w:r>
        <w:separator/>
      </w:r>
    </w:p>
  </w:endnote>
  <w:endnote w:type="continuationSeparator" w:id="0">
    <w:p w14:paraId="2DF37C77" w14:textId="77777777" w:rsidR="004F2B40" w:rsidRDefault="004F2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94D06B-0135-4148-9705-D68D009CD580}"/>
    <w:embedBold r:id="rId2" w:fontKey="{89E18C74-BD72-4ACF-8544-50F25471304A}"/>
  </w:font>
  <w:font w:name="Calibri Light">
    <w:panose1 w:val="020F0302020204030204"/>
    <w:charset w:val="00"/>
    <w:family w:val="swiss"/>
    <w:pitch w:val="variable"/>
    <w:sig w:usb0="E4002EFF" w:usb1="C200247B" w:usb2="00000009" w:usb3="00000000" w:csb0="000001FF" w:csb1="00000000"/>
    <w:embedRegular r:id="rId3" w:fontKey="{A93216C8-2F5A-4E16-BE3F-B67C96CFEE2A}"/>
  </w:font>
  <w:font w:name="Segoe UI">
    <w:panose1 w:val="020B0502040204020203"/>
    <w:charset w:val="00"/>
    <w:family w:val="swiss"/>
    <w:pitch w:val="variable"/>
    <w:sig w:usb0="E4002EFF" w:usb1="C000E47F" w:usb2="00000009" w:usb3="00000000" w:csb0="000001FF" w:csb1="00000000"/>
    <w:embedRegular r:id="rId4" w:fontKey="{B0C373B4-8C7C-47E6-8B8D-F296BA959B33}"/>
  </w:font>
  <w:font w:name="Georgia">
    <w:panose1 w:val="02040502050405020303"/>
    <w:charset w:val="00"/>
    <w:family w:val="roman"/>
    <w:pitch w:val="variable"/>
    <w:sig w:usb0="00000287" w:usb1="00000000" w:usb2="00000000" w:usb3="00000000" w:csb0="0000009F" w:csb1="00000000"/>
    <w:embedRegular r:id="rId5" w:fontKey="{65D85F36-5CA9-46D7-BC49-B9577E8178BD}"/>
    <w:embedItalic r:id="rId6" w:fontKey="{F693851F-1ADC-498D-8CC8-CCF5A7DF8228}"/>
  </w:font>
  <w:font w:name="Verdana">
    <w:panose1 w:val="020B0604030504040204"/>
    <w:charset w:val="00"/>
    <w:family w:val="swiss"/>
    <w:pitch w:val="variable"/>
    <w:sig w:usb0="A00006FF" w:usb1="4000205B" w:usb2="00000010" w:usb3="00000000" w:csb0="0000019F" w:csb1="00000000"/>
    <w:embedRegular r:id="rId7" w:fontKey="{3A709665-35D9-489C-B295-FEEB09E8307F}"/>
    <w:embedBold r:id="rId8" w:fontKey="{8BDB035A-ABFC-4FC7-9254-13099D657519}"/>
    <w:embedItalic r:id="rId9" w:fontKey="{DCBA7B6D-D3D3-47EC-A67A-FF5946000FFC}"/>
    <w:embedBoldItalic r:id="rId10" w:fontKey="{22705DAB-5BF0-4AF9-8664-42110648E421}"/>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1" w:fontKey="{3A4D554E-65CB-4D6B-99BA-52C9E39C882C}"/>
    <w:embedBold r:id="rId12" w:fontKey="{EDCDE9E5-56C6-48CA-8A50-1F513B70F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8"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9" w14:textId="77777777" w:rsidR="002B2554" w:rsidRDefault="002B2554">
    <w:pPr>
      <w:pBdr>
        <w:top w:val="nil"/>
        <w:left w:val="nil"/>
        <w:bottom w:val="nil"/>
        <w:right w:val="nil"/>
        <w:between w:val="nil"/>
      </w:pBdr>
      <w:tabs>
        <w:tab w:val="center" w:pos="4419"/>
        <w:tab w:val="right" w:pos="8838"/>
      </w:tabs>
      <w:spacing w:after="0" w:line="240" w:lineRule="auto"/>
      <w:jc w:val="right"/>
      <w:rPr>
        <w:color w:val="000000"/>
      </w:rPr>
    </w:pPr>
  </w:p>
  <w:p w14:paraId="0000017A" w14:textId="77777777" w:rsidR="002B2554" w:rsidRDefault="002B2554">
    <w:pPr>
      <w:pBdr>
        <w:top w:val="nil"/>
        <w:left w:val="nil"/>
        <w:bottom w:val="nil"/>
        <w:right w:val="nil"/>
        <w:between w:val="nil"/>
      </w:pBdr>
      <w:tabs>
        <w:tab w:val="center" w:pos="4419"/>
        <w:tab w:val="right" w:pos="8838"/>
      </w:tabs>
      <w:spacing w:after="0" w:line="240" w:lineRule="auto"/>
      <w:jc w:val="right"/>
      <w:rPr>
        <w:color w:val="000000"/>
      </w:rPr>
    </w:pPr>
  </w:p>
  <w:p w14:paraId="0000017B" w14:textId="77777777" w:rsidR="002B2554" w:rsidRDefault="002B2554">
    <w:pPr>
      <w:pBdr>
        <w:top w:val="nil"/>
        <w:left w:val="nil"/>
        <w:bottom w:val="nil"/>
        <w:right w:val="nil"/>
        <w:between w:val="nil"/>
      </w:pBdr>
      <w:tabs>
        <w:tab w:val="center" w:pos="4419"/>
        <w:tab w:val="right" w:pos="8838"/>
      </w:tabs>
      <w:spacing w:after="0" w:line="240" w:lineRule="auto"/>
      <w:jc w:val="right"/>
      <w:rPr>
        <w:color w:val="000000"/>
      </w:rPr>
    </w:pPr>
  </w:p>
  <w:p w14:paraId="0000017C" w14:textId="154787BB" w:rsidR="002B2554" w:rsidRDefault="004F2B40">
    <w:pPr>
      <w:pBdr>
        <w:top w:val="nil"/>
        <w:left w:val="nil"/>
        <w:bottom w:val="nil"/>
        <w:right w:val="nil"/>
        <w:between w:val="nil"/>
      </w:pBdr>
      <w:tabs>
        <w:tab w:val="center" w:pos="4419"/>
        <w:tab w:val="right" w:pos="8838"/>
      </w:tabs>
      <w:spacing w:after="0" w:line="240" w:lineRule="auto"/>
      <w:jc w:val="right"/>
      <w:rPr>
        <w:b/>
        <w:color w:val="000000"/>
        <w:sz w:val="24"/>
        <w:szCs w:val="24"/>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5C37E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5C37E7">
      <w:rPr>
        <w:b/>
        <w:noProof/>
        <w:color w:val="000000"/>
        <w:sz w:val="24"/>
        <w:szCs w:val="24"/>
      </w:rPr>
      <w:t>2</w:t>
    </w:r>
    <w:r>
      <w:rPr>
        <w:b/>
        <w:color w:val="000000"/>
        <w:sz w:val="24"/>
        <w:szCs w:val="24"/>
      </w:rPr>
      <w:fldChar w:fldCharType="end"/>
    </w:r>
  </w:p>
  <w:p w14:paraId="0000017D" w14:textId="77777777" w:rsidR="002B2554" w:rsidRDefault="002B2554">
    <w:pPr>
      <w:pBdr>
        <w:top w:val="nil"/>
        <w:left w:val="nil"/>
        <w:bottom w:val="nil"/>
        <w:right w:val="nil"/>
        <w:between w:val="nil"/>
      </w:pBdr>
      <w:tabs>
        <w:tab w:val="center" w:pos="4419"/>
        <w:tab w:val="right" w:pos="8838"/>
      </w:tabs>
      <w:spacing w:after="0" w:line="240" w:lineRule="auto"/>
      <w:jc w:val="right"/>
      <w:rPr>
        <w:color w:val="000000"/>
      </w:rPr>
    </w:pPr>
  </w:p>
  <w:p w14:paraId="0000017E"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F"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5C9957" w14:textId="77777777" w:rsidR="004F2B40" w:rsidRDefault="004F2B40">
      <w:pPr>
        <w:spacing w:after="0" w:line="240" w:lineRule="auto"/>
      </w:pPr>
      <w:r>
        <w:separator/>
      </w:r>
    </w:p>
  </w:footnote>
  <w:footnote w:type="continuationSeparator" w:id="0">
    <w:p w14:paraId="68260CCF" w14:textId="77777777" w:rsidR="004F2B40" w:rsidRDefault="004F2B40">
      <w:pPr>
        <w:spacing w:after="0" w:line="240" w:lineRule="auto"/>
      </w:pPr>
      <w:r>
        <w:continuationSeparator/>
      </w:r>
    </w:p>
  </w:footnote>
  <w:footnote w:id="1">
    <w:p w14:paraId="00000168" w14:textId="77777777" w:rsidR="002B2554" w:rsidRDefault="004F2B40">
      <w:pPr>
        <w:pBdr>
          <w:top w:val="nil"/>
          <w:left w:val="nil"/>
          <w:bottom w:val="nil"/>
          <w:right w:val="nil"/>
          <w:between w:val="nil"/>
        </w:pBdr>
        <w:spacing w:after="0" w:line="240" w:lineRule="auto"/>
        <w:jc w:val="both"/>
        <w:rPr>
          <w:rFonts w:ascii="Verdana" w:eastAsia="Verdana" w:hAnsi="Verdana" w:cs="Verdana"/>
          <w:i/>
          <w:color w:val="000000"/>
          <w:sz w:val="20"/>
          <w:szCs w:val="20"/>
        </w:rPr>
      </w:pPr>
      <w:r>
        <w:rPr>
          <w:vertAlign w:val="superscript"/>
        </w:rPr>
        <w:footnoteRef/>
      </w:r>
      <w:r>
        <w:rPr>
          <w:rFonts w:ascii="Verdana" w:eastAsia="Verdana" w:hAnsi="Verdana" w:cs="Verdana"/>
          <w:color w:val="000000"/>
          <w:sz w:val="20"/>
          <w:szCs w:val="20"/>
        </w:rPr>
        <w:t xml:space="preserve"> </w:t>
      </w:r>
      <w:r w:rsidRPr="000A24E0">
        <w:rPr>
          <w:rFonts w:ascii="Verdana" w:eastAsia="Verdana" w:hAnsi="Verdana" w:cs="Verdana"/>
          <w:color w:val="000000"/>
          <w:sz w:val="18"/>
          <w:szCs w:val="18"/>
        </w:rPr>
        <w:t xml:space="preserve">El </w:t>
      </w:r>
      <w:r w:rsidRPr="000A24E0">
        <w:rPr>
          <w:rFonts w:ascii="Verdana" w:eastAsia="Verdana" w:hAnsi="Verdana" w:cs="Verdana"/>
          <w:i/>
          <w:color w:val="000000"/>
          <w:sz w:val="18"/>
          <w:szCs w:val="18"/>
        </w:rPr>
        <w:t>ambiente</w:t>
      </w:r>
      <w:r w:rsidRPr="000A24E0">
        <w:rPr>
          <w:rFonts w:ascii="Verdana" w:eastAsia="Verdana" w:hAnsi="Verdana" w:cs="Verdana"/>
          <w:color w:val="000000"/>
          <w:sz w:val="18"/>
          <w:szCs w:val="18"/>
        </w:rPr>
        <w:t xml:space="preserve"> es el conjunto de interrelaciones e interdependencias dinámicas, complejas e integrales de los todos los múltiples elementos que lo conforman, particularmente las culturas y los ecosistemas, es decir, la sociedad y la naturaleza. Por eso, esta categoría entiende que el ser humano es parte de la Naturaleza y no un elemento separado de ella. </w:t>
      </w:r>
      <w:r w:rsidRPr="000A24E0">
        <w:rPr>
          <w:rFonts w:ascii="Verdana" w:eastAsia="Verdana" w:hAnsi="Verdana" w:cs="Verdana"/>
          <w:i/>
          <w:color w:val="000000"/>
          <w:sz w:val="18"/>
          <w:szCs w:val="18"/>
        </w:rPr>
        <w:t xml:space="preserve">Mesa Cuadros, G. (2018) Ambientalismo popular. Bogotá D.C.: Ediciones Desde abajo; Mesa Cuadros, G. (2019) Derechos Ambientales, Conflictividad y Paz Ambiental. Bogotá: </w:t>
      </w:r>
      <w:r w:rsidRPr="000A24E0">
        <w:rPr>
          <w:rFonts w:ascii="Verdana" w:eastAsia="Verdana" w:hAnsi="Verdana" w:cs="Verdana"/>
          <w:i/>
          <w:color w:val="000000"/>
          <w:sz w:val="18"/>
          <w:szCs w:val="18"/>
        </w:rPr>
        <w:t>Universidad Nacional de Colombia</w:t>
      </w:r>
    </w:p>
  </w:footnote>
  <w:footnote w:id="2">
    <w:p w14:paraId="00000169" w14:textId="77777777" w:rsidR="002B2554" w:rsidRPr="006A7762" w:rsidRDefault="004F2B40">
      <w:pPr>
        <w:pBdr>
          <w:top w:val="nil"/>
          <w:left w:val="nil"/>
          <w:bottom w:val="nil"/>
          <w:right w:val="nil"/>
          <w:between w:val="nil"/>
        </w:pBdr>
        <w:spacing w:after="0" w:line="240" w:lineRule="auto"/>
        <w:jc w:val="both"/>
        <w:rPr>
          <w:rFonts w:ascii="Verdana" w:eastAsia="Verdana" w:hAnsi="Verdana" w:cs="Verdana"/>
          <w:i/>
          <w:color w:val="000000"/>
          <w:sz w:val="18"/>
          <w:szCs w:val="18"/>
        </w:rPr>
      </w:pPr>
      <w:r w:rsidRPr="006A7762">
        <w:rPr>
          <w:rFonts w:ascii="Verdana" w:hAnsi="Verdana"/>
          <w:sz w:val="18"/>
          <w:szCs w:val="18"/>
          <w:vertAlign w:val="superscript"/>
        </w:rPr>
        <w:footnoteRef/>
      </w:r>
      <w:r w:rsidRPr="006A7762">
        <w:rPr>
          <w:rFonts w:ascii="Verdana" w:eastAsia="Verdana" w:hAnsi="Verdana" w:cs="Verdana"/>
          <w:color w:val="000000"/>
          <w:sz w:val="18"/>
          <w:szCs w:val="18"/>
        </w:rPr>
        <w:t xml:space="preserve"> “El deber de reconocer la dimensión ambiental se refiere a la obligación que tiene el Estado de tener en cuenta dicha relación en las acciones que realice sobre población campesina” </w:t>
      </w:r>
      <w:r w:rsidRPr="006A7762">
        <w:rPr>
          <w:rFonts w:ascii="Verdana" w:eastAsia="Verdana" w:hAnsi="Verdana" w:cs="Verdana"/>
          <w:i/>
          <w:color w:val="000000"/>
          <w:sz w:val="18"/>
          <w:szCs w:val="18"/>
        </w:rPr>
        <w:t>Olaya, C., Angarita, A., Quesada, C. &amp; Uprimny, R. (2024). Una teoría jurídica sobre la dimensión ambiental del campesinado. Dejusticia.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B" w14:textId="77777777" w:rsidR="002B2554" w:rsidRDefault="004F2B40">
    <w:pPr>
      <w:pBdr>
        <w:top w:val="nil"/>
        <w:left w:val="nil"/>
        <w:bottom w:val="nil"/>
        <w:right w:val="nil"/>
        <w:between w:val="nil"/>
      </w:pBdr>
      <w:tabs>
        <w:tab w:val="center" w:pos="4419"/>
        <w:tab w:val="right" w:pos="8838"/>
      </w:tabs>
      <w:spacing w:after="0" w:line="240" w:lineRule="auto"/>
      <w:rPr>
        <w:color w:val="000000"/>
      </w:rPr>
    </w:pPr>
    <w:r>
      <w:rPr>
        <w:color w:val="000000"/>
      </w:rPr>
      <w:pict w14:anchorId="5CB6C0EB">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49" type="#_x0000_m1026" style="position:absolute;margin-left:0;margin-top:0;width:412.4pt;height:247.45pt;rotation:315;z-index:-251658240;mso-position-horizontal:center;mso-position-horizontal-relative:margin;mso-position-vertical:center;mso-position-vertical-relative:margin" fillcolor="silver" stroked="f">
          <v:fill opacity=".5" angle="0"/>
          <v:textpath on="t" style="font-family:&quot;&amp;quot&quot;;font-size:1pt" fitshape="t" string="BORRADOR"/>
          <w10:wrap anchorx="margin" anchory="margin"/>
        </v:shape>
      </w:pict>
    </w:r>
    <w:r>
      <w:rPr>
        <w:noProof/>
      </w:rPr>
      <w:drawing>
        <wp:anchor distT="0" distB="0" distL="0" distR="0" simplePos="0" relativeHeight="251657216" behindDoc="1" locked="0" layoutInCell="1" hidden="0" allowOverlap="1" wp14:anchorId="0989D540" wp14:editId="07C6A450">
          <wp:simplePos x="0" y="0"/>
          <wp:positionH relativeFrom="column">
            <wp:posOffset>-1076324</wp:posOffset>
          </wp:positionH>
          <wp:positionV relativeFrom="paragraph">
            <wp:posOffset>-596264</wp:posOffset>
          </wp:positionV>
          <wp:extent cx="7769352" cy="11876444"/>
          <wp:effectExtent l="0" t="0" r="0" b="0"/>
          <wp:wrapNone/>
          <wp:docPr id="17" name="image1.png" descr="Imagen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Imagen en blanco y negro&#10;&#10;Descripción generada automáticamente con confianza media"/>
                  <pic:cNvPicPr preferRelativeResize="0"/>
                </pic:nvPicPr>
                <pic:blipFill>
                  <a:blip r:embed="rId1"/>
                  <a:srcRect/>
                  <a:stretch>
                    <a:fillRect/>
                  </a:stretch>
                </pic:blipFill>
                <pic:spPr>
                  <a:xfrm>
                    <a:off x="0" y="0"/>
                    <a:ext cx="7769352" cy="11876444"/>
                  </a:xfrm>
                  <a:prstGeom prst="rect">
                    <a:avLst/>
                  </a:prstGeom>
                  <a:ln/>
                </pic:spPr>
              </pic:pic>
            </a:graphicData>
          </a:graphic>
        </wp:anchor>
      </w:drawing>
    </w:r>
  </w:p>
  <w:p w14:paraId="0000016C"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p w14:paraId="0000016D"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p w14:paraId="0000016E"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p w14:paraId="0000016F" w14:textId="77777777" w:rsidR="002B2554" w:rsidRDefault="002B2554">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color w:val="000000"/>
      </w:rPr>
    </w:pPr>
  </w:p>
  <w:p w14:paraId="00000170" w14:textId="77777777" w:rsidR="002B2554" w:rsidRDefault="002B2554">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color w:val="000000"/>
      </w:rPr>
    </w:pPr>
  </w:p>
  <w:p w14:paraId="00000171" w14:textId="77777777" w:rsidR="002B2554" w:rsidRDefault="004F2B40">
    <w:pPr>
      <w:pBdr>
        <w:top w:val="nil"/>
        <w:left w:val="nil"/>
        <w:bottom w:val="nil"/>
        <w:right w:val="nil"/>
        <w:between w:val="nil"/>
      </w:pBdr>
      <w:tabs>
        <w:tab w:val="center" w:pos="4419"/>
        <w:tab w:val="right" w:pos="8838"/>
      </w:tabs>
      <w:spacing w:after="0" w:line="240" w:lineRule="auto"/>
      <w:jc w:val="center"/>
      <w:rPr>
        <w:rFonts w:ascii="Verdana" w:eastAsia="Verdana" w:hAnsi="Verdana" w:cs="Verdana"/>
        <w:b/>
        <w:color w:val="000000"/>
      </w:rPr>
    </w:pPr>
    <w:r>
      <w:rPr>
        <w:rFonts w:ascii="Arial Narrow" w:eastAsia="Arial Narrow" w:hAnsi="Arial Narrow" w:cs="Arial Narrow"/>
        <w:b/>
      </w:rPr>
      <w:t>RESOLUCIÓN</w:t>
    </w:r>
    <w:r>
      <w:rPr>
        <w:rFonts w:ascii="Arial Narrow" w:eastAsia="Arial Narrow" w:hAnsi="Arial Narrow" w:cs="Arial Narrow"/>
        <w:b/>
        <w:color w:val="000000"/>
      </w:rPr>
      <w:t xml:space="preserve">                               </w:t>
    </w:r>
    <w:r>
      <w:rPr>
        <w:rFonts w:ascii="Verdana" w:eastAsia="Verdana" w:hAnsi="Verdana" w:cs="Verdana"/>
        <w:b/>
        <w:color w:val="000000"/>
      </w:rPr>
      <w:t>DE                                     2025</w:t>
    </w:r>
  </w:p>
  <w:p w14:paraId="00000172" w14:textId="77777777" w:rsidR="002B2554" w:rsidRDefault="002B2554">
    <w:pPr>
      <w:pBdr>
        <w:top w:val="nil"/>
        <w:left w:val="nil"/>
        <w:bottom w:val="nil"/>
        <w:right w:val="nil"/>
        <w:between w:val="nil"/>
      </w:pBdr>
      <w:tabs>
        <w:tab w:val="center" w:pos="4419"/>
        <w:tab w:val="right" w:pos="8838"/>
      </w:tabs>
      <w:spacing w:after="0" w:line="240" w:lineRule="auto"/>
      <w:jc w:val="center"/>
      <w:rPr>
        <w:rFonts w:ascii="Verdana" w:eastAsia="Verdana" w:hAnsi="Verdana" w:cs="Verdana"/>
        <w:b/>
        <w:color w:val="000000"/>
      </w:rPr>
    </w:pPr>
  </w:p>
  <w:p w14:paraId="00000173" w14:textId="77777777" w:rsidR="002B2554" w:rsidRDefault="004F2B40">
    <w:pPr>
      <w:widowControl w:val="0"/>
      <w:spacing w:after="0" w:line="240" w:lineRule="auto"/>
      <w:jc w:val="center"/>
      <w:rPr>
        <w:rFonts w:ascii="Verdana" w:eastAsia="Verdana" w:hAnsi="Verdana" w:cs="Verdana"/>
        <w:b/>
      </w:rPr>
    </w:pPr>
    <w:r>
      <w:rPr>
        <w:rFonts w:ascii="Verdana" w:eastAsia="Verdana" w:hAnsi="Verdana" w:cs="Verdana"/>
      </w:rPr>
      <w:t>Por la cual se adopta el Plan de Manejo del Santuario de Fauna y Flora Los Colorados</w:t>
    </w:r>
  </w:p>
  <w:p w14:paraId="00000174" w14:textId="77777777" w:rsidR="002B2554" w:rsidRDefault="002B2554">
    <w:pPr>
      <w:pBdr>
        <w:top w:val="nil"/>
        <w:left w:val="nil"/>
        <w:bottom w:val="nil"/>
        <w:right w:val="nil"/>
        <w:between w:val="nil"/>
      </w:pBdr>
      <w:tabs>
        <w:tab w:val="center" w:pos="4419"/>
        <w:tab w:val="right" w:pos="8838"/>
      </w:tabs>
      <w:spacing w:after="0" w:line="240" w:lineRule="auto"/>
      <w:jc w:val="center"/>
      <w:rPr>
        <w:rFonts w:ascii="Verdana" w:eastAsia="Verdana" w:hAnsi="Verdana" w:cs="Verdana"/>
        <w:b/>
        <w:color w:val="000000"/>
      </w:rPr>
    </w:pPr>
  </w:p>
  <w:p w14:paraId="00000175" w14:textId="77777777" w:rsidR="002B2554" w:rsidRDefault="004F2B40">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b/>
        <w:color w:val="000000"/>
        <w:sz w:val="24"/>
        <w:szCs w:val="24"/>
      </w:rPr>
    </w:pPr>
    <w:r>
      <w:rPr>
        <w:rFonts w:ascii="Verdana" w:eastAsia="Verdana" w:hAnsi="Verdana" w:cs="Verdana"/>
        <w:b/>
        <w:color w:val="000000"/>
      </w:rPr>
      <w:t xml:space="preserve"> </w:t>
    </w:r>
  </w:p>
  <w:p w14:paraId="00000176"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7" w14:textId="77777777" w:rsidR="002B2554" w:rsidRDefault="002B255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56612"/>
    <w:multiLevelType w:val="multilevel"/>
    <w:tmpl w:val="F5E25F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B863D3F"/>
    <w:multiLevelType w:val="multilevel"/>
    <w:tmpl w:val="922646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8EF3F05"/>
    <w:multiLevelType w:val="multilevel"/>
    <w:tmpl w:val="B7C0C1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41162602">
    <w:abstractNumId w:val="1"/>
  </w:num>
  <w:num w:numId="2" w16cid:durableId="962151678">
    <w:abstractNumId w:val="2"/>
  </w:num>
  <w:num w:numId="3" w16cid:durableId="17969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554"/>
    <w:rsid w:val="00024587"/>
    <w:rsid w:val="000335C2"/>
    <w:rsid w:val="00080133"/>
    <w:rsid w:val="000A24E0"/>
    <w:rsid w:val="000A66C9"/>
    <w:rsid w:val="000B05DF"/>
    <w:rsid w:val="001212FA"/>
    <w:rsid w:val="0013241F"/>
    <w:rsid w:val="00141578"/>
    <w:rsid w:val="00184C72"/>
    <w:rsid w:val="001A7E9C"/>
    <w:rsid w:val="001B6B31"/>
    <w:rsid w:val="001C0B90"/>
    <w:rsid w:val="001E4D32"/>
    <w:rsid w:val="001E5946"/>
    <w:rsid w:val="002832AB"/>
    <w:rsid w:val="0029610D"/>
    <w:rsid w:val="002A20A7"/>
    <w:rsid w:val="002B2554"/>
    <w:rsid w:val="002B7EA4"/>
    <w:rsid w:val="002F18B2"/>
    <w:rsid w:val="00363717"/>
    <w:rsid w:val="00387EB7"/>
    <w:rsid w:val="003C2A15"/>
    <w:rsid w:val="00433F14"/>
    <w:rsid w:val="00441CCB"/>
    <w:rsid w:val="004478C8"/>
    <w:rsid w:val="0046345D"/>
    <w:rsid w:val="004A17E5"/>
    <w:rsid w:val="004F2B40"/>
    <w:rsid w:val="004F5C15"/>
    <w:rsid w:val="0051623C"/>
    <w:rsid w:val="00533818"/>
    <w:rsid w:val="005362A6"/>
    <w:rsid w:val="0055110C"/>
    <w:rsid w:val="00577807"/>
    <w:rsid w:val="0058130C"/>
    <w:rsid w:val="005A4798"/>
    <w:rsid w:val="005A7561"/>
    <w:rsid w:val="005C37E7"/>
    <w:rsid w:val="005E6EB7"/>
    <w:rsid w:val="006318D4"/>
    <w:rsid w:val="0067026B"/>
    <w:rsid w:val="006A7762"/>
    <w:rsid w:val="006C715D"/>
    <w:rsid w:val="006D0037"/>
    <w:rsid w:val="006D51E6"/>
    <w:rsid w:val="006E7B0D"/>
    <w:rsid w:val="00700173"/>
    <w:rsid w:val="00740E26"/>
    <w:rsid w:val="007432C8"/>
    <w:rsid w:val="007519A8"/>
    <w:rsid w:val="00766A24"/>
    <w:rsid w:val="007A2954"/>
    <w:rsid w:val="007E22C0"/>
    <w:rsid w:val="008500CA"/>
    <w:rsid w:val="0085284C"/>
    <w:rsid w:val="00866111"/>
    <w:rsid w:val="008D018E"/>
    <w:rsid w:val="008E10E2"/>
    <w:rsid w:val="008E4F76"/>
    <w:rsid w:val="009249DA"/>
    <w:rsid w:val="009311AC"/>
    <w:rsid w:val="00935B2C"/>
    <w:rsid w:val="00945990"/>
    <w:rsid w:val="00964270"/>
    <w:rsid w:val="009800DA"/>
    <w:rsid w:val="009E2894"/>
    <w:rsid w:val="00A22EEB"/>
    <w:rsid w:val="00A37E96"/>
    <w:rsid w:val="00A71FEB"/>
    <w:rsid w:val="00AC37C9"/>
    <w:rsid w:val="00AF3937"/>
    <w:rsid w:val="00B128DD"/>
    <w:rsid w:val="00B16C5B"/>
    <w:rsid w:val="00B2377E"/>
    <w:rsid w:val="00C34EB6"/>
    <w:rsid w:val="00C435BD"/>
    <w:rsid w:val="00C55E02"/>
    <w:rsid w:val="00C85440"/>
    <w:rsid w:val="00CF06DA"/>
    <w:rsid w:val="00D17FF1"/>
    <w:rsid w:val="00D361A9"/>
    <w:rsid w:val="00DC0149"/>
    <w:rsid w:val="00DC6FB7"/>
    <w:rsid w:val="00DD46F1"/>
    <w:rsid w:val="00DF7C91"/>
    <w:rsid w:val="00E36D3E"/>
    <w:rsid w:val="00E72389"/>
    <w:rsid w:val="00EF0C52"/>
    <w:rsid w:val="00EF76BD"/>
    <w:rsid w:val="00FC21B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C2ACA46"/>
  <w15:docId w15:val="{052AE34B-A0CC-4545-8C88-35DE97AD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9068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68CD"/>
  </w:style>
  <w:style w:type="paragraph" w:styleId="Piedepgina">
    <w:name w:val="footer"/>
    <w:basedOn w:val="Normal"/>
    <w:link w:val="PiedepginaCar"/>
    <w:uiPriority w:val="99"/>
    <w:unhideWhenUsed/>
    <w:rsid w:val="009068C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68CD"/>
  </w:style>
  <w:style w:type="table" w:styleId="Tablaconcuadrcula">
    <w:name w:val="Table Grid"/>
    <w:basedOn w:val="Tablanormal"/>
    <w:uiPriority w:val="39"/>
    <w:rsid w:val="00906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FD04F2"/>
    <w:rPr>
      <w:i/>
      <w:iCs/>
    </w:rPr>
  </w:style>
  <w:style w:type="character" w:customStyle="1" w:styleId="Ttulo3Car">
    <w:name w:val="Título 3 Car"/>
    <w:basedOn w:val="Fuentedeprrafopredeter"/>
    <w:uiPriority w:val="9"/>
    <w:semiHidden/>
    <w:rsid w:val="00FD04F2"/>
    <w:rPr>
      <w:rFonts w:asciiTheme="majorHAnsi" w:eastAsiaTheme="majorEastAsia" w:hAnsiTheme="majorHAnsi" w:cstheme="majorBidi"/>
      <w:color w:val="1F4D78" w:themeColor="accent1" w:themeShade="7F"/>
      <w:kern w:val="2"/>
      <w:sz w:val="24"/>
      <w:szCs w:val="24"/>
    </w:rPr>
  </w:style>
  <w:style w:type="paragraph" w:styleId="NormalWeb">
    <w:name w:val="Normal (Web)"/>
    <w:basedOn w:val="Normal"/>
    <w:uiPriority w:val="99"/>
    <w:rsid w:val="00FD04F2"/>
    <w:pPr>
      <w:suppressAutoHyphens/>
      <w:autoSpaceDN w:val="0"/>
      <w:spacing w:before="100" w:after="100" w:line="240" w:lineRule="auto"/>
      <w:textAlignment w:val="baseline"/>
    </w:pPr>
    <w:rPr>
      <w:rFonts w:ascii="Times New Roman" w:hAnsi="Times New Roman" w:cs="Times New Roman"/>
      <w:sz w:val="24"/>
      <w:szCs w:val="24"/>
      <w:lang w:val="es-ES" w:eastAsia="es-ES"/>
    </w:rPr>
  </w:style>
  <w:style w:type="character" w:styleId="Refdecomentario">
    <w:name w:val="annotation reference"/>
    <w:rsid w:val="00FD04F2"/>
    <w:rPr>
      <w:sz w:val="16"/>
      <w:szCs w:val="16"/>
    </w:rPr>
  </w:style>
  <w:style w:type="paragraph" w:styleId="Prrafodelista">
    <w:name w:val="List Paragraph"/>
    <w:basedOn w:val="Normal"/>
    <w:link w:val="PrrafodelistaCar"/>
    <w:uiPriority w:val="34"/>
    <w:qFormat/>
    <w:rsid w:val="00FD04F2"/>
    <w:pPr>
      <w:suppressAutoHyphens/>
      <w:autoSpaceDN w:val="0"/>
      <w:spacing w:after="0" w:line="240" w:lineRule="auto"/>
      <w:ind w:left="720"/>
      <w:textAlignment w:val="baseline"/>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rsid w:val="00FD04F2"/>
    <w:rPr>
      <w:rFonts w:ascii="Times New Roman" w:eastAsia="Times New Roman" w:hAnsi="Times New Roman" w:cs="Times New Roman"/>
      <w:sz w:val="24"/>
      <w:szCs w:val="24"/>
      <w:lang w:val="es-ES" w:eastAsia="es-ES"/>
    </w:rPr>
  </w:style>
  <w:style w:type="paragraph" w:styleId="Descripcin">
    <w:name w:val="caption"/>
    <w:basedOn w:val="Normal"/>
    <w:next w:val="Normal"/>
    <w:uiPriority w:val="35"/>
    <w:unhideWhenUsed/>
    <w:qFormat/>
    <w:rsid w:val="00FD04F2"/>
    <w:pPr>
      <w:spacing w:after="200" w:line="240" w:lineRule="auto"/>
    </w:pPr>
    <w:rPr>
      <w:rFonts w:ascii="Times New Roman" w:eastAsia="Times New Roman" w:hAnsi="Times New Roman" w:cs="Times New Roman"/>
      <w:i/>
      <w:iCs/>
      <w:color w:val="44546A" w:themeColor="text2"/>
      <w:sz w:val="18"/>
      <w:szCs w:val="18"/>
      <w:lang w:eastAsia="es-ES_tradnl"/>
    </w:rPr>
  </w:style>
  <w:style w:type="character" w:styleId="Hipervnculo">
    <w:name w:val="Hyperlink"/>
    <w:basedOn w:val="Fuentedeprrafopredeter"/>
    <w:uiPriority w:val="99"/>
    <w:unhideWhenUsed/>
    <w:rsid w:val="008E2619"/>
    <w:rPr>
      <w:color w:val="0563C1" w:themeColor="hyperlink"/>
      <w:u w:val="single"/>
    </w:rPr>
  </w:style>
  <w:style w:type="character" w:styleId="Mencinsinresolver">
    <w:name w:val="Unresolved Mention"/>
    <w:basedOn w:val="Fuentedeprrafopredeter"/>
    <w:uiPriority w:val="99"/>
    <w:semiHidden/>
    <w:unhideWhenUsed/>
    <w:rsid w:val="008E2619"/>
    <w:rPr>
      <w:color w:val="605E5C"/>
      <w:shd w:val="clear" w:color="auto" w:fill="E1DFDD"/>
    </w:rPr>
  </w:style>
  <w:style w:type="paragraph" w:styleId="Textonotapie">
    <w:name w:val="footnote text"/>
    <w:basedOn w:val="Normal"/>
    <w:link w:val="TextonotapieCar"/>
    <w:uiPriority w:val="99"/>
    <w:semiHidden/>
    <w:unhideWhenUsed/>
    <w:rsid w:val="005C27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C2780"/>
    <w:rPr>
      <w:kern w:val="2"/>
      <w:sz w:val="20"/>
      <w:szCs w:val="20"/>
    </w:rPr>
  </w:style>
  <w:style w:type="character" w:styleId="Refdenotaalpie">
    <w:name w:val="footnote reference"/>
    <w:basedOn w:val="Fuentedeprrafopredeter"/>
    <w:uiPriority w:val="99"/>
    <w:semiHidden/>
    <w:unhideWhenUsed/>
    <w:rsid w:val="005C2780"/>
    <w:rPr>
      <w:vertAlign w:val="superscript"/>
    </w:rPr>
  </w:style>
  <w:style w:type="paragraph" w:styleId="Textocomentario">
    <w:name w:val="annotation text"/>
    <w:basedOn w:val="Normal"/>
    <w:link w:val="TextocomentarioCar"/>
    <w:uiPriority w:val="99"/>
    <w:unhideWhenUsed/>
    <w:rsid w:val="008F047C"/>
    <w:pPr>
      <w:spacing w:line="240" w:lineRule="auto"/>
    </w:pPr>
    <w:rPr>
      <w:sz w:val="20"/>
      <w:szCs w:val="20"/>
    </w:rPr>
  </w:style>
  <w:style w:type="character" w:customStyle="1" w:styleId="TextocomentarioCar">
    <w:name w:val="Texto comentario Car"/>
    <w:basedOn w:val="Fuentedeprrafopredeter"/>
    <w:link w:val="Textocomentario"/>
    <w:uiPriority w:val="99"/>
    <w:rsid w:val="008F047C"/>
    <w:rPr>
      <w:kern w:val="2"/>
      <w:sz w:val="20"/>
      <w:szCs w:val="20"/>
    </w:rPr>
  </w:style>
  <w:style w:type="paragraph" w:styleId="Asuntodelcomentario">
    <w:name w:val="annotation subject"/>
    <w:basedOn w:val="Textocomentario"/>
    <w:next w:val="Textocomentario"/>
    <w:link w:val="AsuntodelcomentarioCar"/>
    <w:uiPriority w:val="99"/>
    <w:semiHidden/>
    <w:unhideWhenUsed/>
    <w:rsid w:val="008F047C"/>
    <w:rPr>
      <w:b/>
      <w:bCs/>
    </w:rPr>
  </w:style>
  <w:style w:type="character" w:customStyle="1" w:styleId="AsuntodelcomentarioCar">
    <w:name w:val="Asunto del comentario Car"/>
    <w:basedOn w:val="TextocomentarioCar"/>
    <w:link w:val="Asuntodelcomentario"/>
    <w:uiPriority w:val="99"/>
    <w:semiHidden/>
    <w:rsid w:val="008F047C"/>
    <w:rPr>
      <w:b/>
      <w:bCs/>
      <w:kern w:val="2"/>
      <w:sz w:val="20"/>
      <w:szCs w:val="20"/>
    </w:rPr>
  </w:style>
  <w:style w:type="paragraph" w:styleId="Textodeglobo">
    <w:name w:val="Balloon Text"/>
    <w:basedOn w:val="Normal"/>
    <w:link w:val="TextodegloboCar"/>
    <w:uiPriority w:val="99"/>
    <w:semiHidden/>
    <w:unhideWhenUsed/>
    <w:rsid w:val="00357C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7C38"/>
    <w:rPr>
      <w:rFonts w:ascii="Segoe UI" w:hAnsi="Segoe UI" w:cs="Segoe UI"/>
      <w:kern w:val="2"/>
      <w:sz w:val="18"/>
      <w:szCs w:val="18"/>
    </w:rPr>
  </w:style>
  <w:style w:type="paragraph" w:styleId="Revisin">
    <w:name w:val="Revision"/>
    <w:hidden/>
    <w:uiPriority w:val="99"/>
    <w:semiHidden/>
    <w:rsid w:val="002C10A9"/>
    <w:pPr>
      <w:spacing w:after="0" w:line="240" w:lineRule="auto"/>
    </w:pPr>
    <w:rPr>
      <w:kern w:val="2"/>
    </w:rPr>
  </w:style>
  <w:style w:type="character" w:styleId="Textoennegrita">
    <w:name w:val="Strong"/>
    <w:basedOn w:val="Fuentedeprrafopredeter"/>
    <w:uiPriority w:val="22"/>
    <w:qFormat/>
    <w:rsid w:val="00655C78"/>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tbYMAfdmcJOVRIxlTqUIbIgBsg==">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20</Pages>
  <Words>8914</Words>
  <Characters>49033</Characters>
  <Application>Microsoft Office Word</Application>
  <DocSecurity>0</DocSecurity>
  <Lines>408</Lines>
  <Paragraphs>115</Paragraphs>
  <ScaleCrop>false</ScaleCrop>
  <Company/>
  <LinksUpToDate>false</LinksUpToDate>
  <CharactersWithSpaces>57832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Camilo  Baracaldo Godoy</dc:creator>
  <cp:lastModifiedBy>Lady Prieto</cp:lastModifiedBy>
  <cp:revision>94</cp:revision>
  <dcterms:created xsi:type="dcterms:W3CDTF">2025-10-06T15:17:00Z</dcterms:created>
  <dcterms:modified xsi:type="dcterms:W3CDTF">2025-10-06T16:46:00Z</dcterms:modified>
</cp:coreProperties>
</file>