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77777777" w:rsidR="002F4304" w:rsidRPr="00E835FE" w:rsidRDefault="002F4304" w:rsidP="00A97D80">
      <w:pPr>
        <w:pStyle w:val="TDC3"/>
      </w:pPr>
      <w:bookmarkStart w:id="0" w:name="_GoBack"/>
      <w:bookmarkEnd w:id="0"/>
    </w:p>
    <w:p w14:paraId="4671C33B" w14:textId="77777777" w:rsidR="00F404F2" w:rsidRPr="00E835FE" w:rsidRDefault="00F404F2" w:rsidP="00A97D80">
      <w:pPr>
        <w:pStyle w:val="TDC3"/>
      </w:pPr>
      <w:r w:rsidRPr="00E835FE">
        <w:t>TABLA DE CONTENIDO</w:t>
      </w:r>
    </w:p>
    <w:p w14:paraId="155B765E" w14:textId="77777777" w:rsidR="00B94D6F" w:rsidRPr="00E835FE" w:rsidRDefault="00B94D6F" w:rsidP="00B94D6F">
      <w:pPr>
        <w:rPr>
          <w:rFonts w:ascii="Arial Narrow" w:hAnsi="Arial Narrow"/>
          <w:sz w:val="22"/>
          <w:szCs w:val="22"/>
        </w:rPr>
      </w:pP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44CB5DF7" w14:textId="06010B54" w:rsidR="00026A55" w:rsidRPr="005235A5" w:rsidRDefault="00F404F2" w:rsidP="00026A55">
      <w:pPr>
        <w:pStyle w:val="TDC3"/>
        <w:spacing w:before="120" w:after="120"/>
        <w:rPr>
          <w:rFonts w:ascii="Calibri" w:hAnsi="Calibri" w:cs="Times New Roman"/>
          <w:b w:val="0"/>
          <w:bCs w:val="0"/>
          <w:noProof/>
          <w:lang w:val="es-CO" w:eastAsia="es-CO"/>
        </w:rPr>
      </w:pPr>
      <w:r w:rsidRPr="00026A55">
        <w:rPr>
          <w:b w:val="0"/>
          <w:bCs w:val="0"/>
        </w:rPr>
        <w:fldChar w:fldCharType="begin"/>
      </w:r>
      <w:r w:rsidRPr="00026A55">
        <w:rPr>
          <w:b w:val="0"/>
          <w:bCs w:val="0"/>
        </w:rPr>
        <w:instrText xml:space="preserve"> </w:instrText>
      </w:r>
      <w:r w:rsidR="00EE5FB6" w:rsidRPr="00026A55">
        <w:rPr>
          <w:b w:val="0"/>
          <w:bCs w:val="0"/>
        </w:rPr>
        <w:instrText>TOC</w:instrText>
      </w:r>
      <w:r w:rsidRPr="00026A55">
        <w:rPr>
          <w:b w:val="0"/>
          <w:bCs w:val="0"/>
        </w:rPr>
        <w:instrText xml:space="preserve"> \o "1-3" \h \z </w:instrText>
      </w:r>
      <w:r w:rsidRPr="00026A55">
        <w:rPr>
          <w:b w:val="0"/>
          <w:bCs w:val="0"/>
        </w:rPr>
        <w:fldChar w:fldCharType="separate"/>
      </w:r>
      <w:hyperlink w:anchor="_Toc32778300" w:history="1">
        <w:r w:rsidR="00026A55" w:rsidRPr="00026A55">
          <w:rPr>
            <w:rStyle w:val="Hipervnculo"/>
            <w:b w:val="0"/>
            <w:bCs w:val="0"/>
            <w:noProof/>
          </w:rPr>
          <w:t>1.</w:t>
        </w:r>
        <w:r w:rsidR="00026A55" w:rsidRPr="005235A5">
          <w:rPr>
            <w:rFonts w:ascii="Calibri" w:hAnsi="Calibri" w:cs="Times New Roman"/>
            <w:b w:val="0"/>
            <w:bCs w:val="0"/>
            <w:noProof/>
            <w:lang w:val="es-CO" w:eastAsia="es-CO"/>
          </w:rPr>
          <w:tab/>
        </w:r>
        <w:r w:rsidR="00026A55" w:rsidRPr="00026A55">
          <w:rPr>
            <w:rStyle w:val="Hipervnculo"/>
            <w:b w:val="0"/>
            <w:bCs w:val="0"/>
            <w:noProof/>
          </w:rPr>
          <w:t>OBJETIVO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_Toc32778300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2</w:t>
        </w:r>
        <w:r w:rsidR="00026A55" w:rsidRPr="00026A55">
          <w:rPr>
            <w:b w:val="0"/>
            <w:bCs w:val="0"/>
            <w:noProof/>
            <w:webHidden/>
          </w:rPr>
          <w:fldChar w:fldCharType="end"/>
        </w:r>
      </w:hyperlink>
    </w:p>
    <w:p w14:paraId="48E0B4A8" w14:textId="39369DB6" w:rsidR="00026A55" w:rsidRPr="005235A5" w:rsidRDefault="003B21C4" w:rsidP="00026A55">
      <w:pPr>
        <w:pStyle w:val="TDC3"/>
        <w:spacing w:before="120" w:after="120"/>
        <w:rPr>
          <w:rFonts w:ascii="Calibri" w:hAnsi="Calibri" w:cs="Times New Roman"/>
          <w:b w:val="0"/>
          <w:bCs w:val="0"/>
          <w:noProof/>
          <w:lang w:val="es-CO" w:eastAsia="es-CO"/>
        </w:rPr>
      </w:pPr>
      <w:hyperlink w:anchor="_Toc32778301" w:history="1">
        <w:r w:rsidR="00026A55" w:rsidRPr="00026A55">
          <w:rPr>
            <w:rStyle w:val="Hipervnculo"/>
            <w:b w:val="0"/>
            <w:bCs w:val="0"/>
            <w:noProof/>
          </w:rPr>
          <w:t>2.</w:t>
        </w:r>
        <w:r w:rsidR="00026A55" w:rsidRPr="005235A5">
          <w:rPr>
            <w:rFonts w:ascii="Calibri" w:hAnsi="Calibri" w:cs="Times New Roman"/>
            <w:b w:val="0"/>
            <w:bCs w:val="0"/>
            <w:noProof/>
            <w:lang w:val="es-CO" w:eastAsia="es-CO"/>
          </w:rPr>
          <w:tab/>
        </w:r>
        <w:r w:rsidR="00026A55" w:rsidRPr="00026A55">
          <w:rPr>
            <w:rStyle w:val="Hipervnculo"/>
            <w:b w:val="0"/>
            <w:bCs w:val="0"/>
            <w:noProof/>
          </w:rPr>
          <w:t>ALCANCE</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_Toc32778301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2</w:t>
        </w:r>
        <w:r w:rsidR="00026A55" w:rsidRPr="00026A55">
          <w:rPr>
            <w:b w:val="0"/>
            <w:bCs w:val="0"/>
            <w:noProof/>
            <w:webHidden/>
          </w:rPr>
          <w:fldChar w:fldCharType="end"/>
        </w:r>
      </w:hyperlink>
    </w:p>
    <w:p w14:paraId="6F7F6865" w14:textId="387451B9" w:rsidR="00026A55" w:rsidRPr="005235A5" w:rsidRDefault="003B21C4" w:rsidP="00026A55">
      <w:pPr>
        <w:pStyle w:val="TDC3"/>
        <w:spacing w:before="120" w:after="120"/>
        <w:rPr>
          <w:rFonts w:ascii="Calibri" w:hAnsi="Calibri" w:cs="Times New Roman"/>
          <w:b w:val="0"/>
          <w:bCs w:val="0"/>
          <w:noProof/>
          <w:lang w:val="es-CO" w:eastAsia="es-CO"/>
        </w:rPr>
      </w:pPr>
      <w:hyperlink w:anchor="_Toc32778302" w:history="1">
        <w:r w:rsidR="00026A55" w:rsidRPr="00026A55">
          <w:rPr>
            <w:rStyle w:val="Hipervnculo"/>
            <w:b w:val="0"/>
            <w:bCs w:val="0"/>
            <w:noProof/>
          </w:rPr>
          <w:t>3.</w:t>
        </w:r>
        <w:r w:rsidR="00026A55" w:rsidRPr="005235A5">
          <w:rPr>
            <w:rFonts w:ascii="Calibri" w:hAnsi="Calibri" w:cs="Times New Roman"/>
            <w:b w:val="0"/>
            <w:bCs w:val="0"/>
            <w:noProof/>
            <w:lang w:val="es-CO" w:eastAsia="es-CO"/>
          </w:rPr>
          <w:tab/>
        </w:r>
        <w:r w:rsidR="00026A55" w:rsidRPr="00026A55">
          <w:rPr>
            <w:rStyle w:val="Hipervnculo"/>
            <w:b w:val="0"/>
            <w:bCs w:val="0"/>
            <w:noProof/>
          </w:rPr>
          <w:t>DEFINICIONES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_Toc32778302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2</w:t>
        </w:r>
        <w:r w:rsidR="00026A55" w:rsidRPr="00026A55">
          <w:rPr>
            <w:b w:val="0"/>
            <w:bCs w:val="0"/>
            <w:noProof/>
            <w:webHidden/>
          </w:rPr>
          <w:fldChar w:fldCharType="end"/>
        </w:r>
      </w:hyperlink>
    </w:p>
    <w:p w14:paraId="05D4E2F5" w14:textId="5D3CCE31" w:rsidR="00026A55" w:rsidRPr="005235A5" w:rsidRDefault="003B21C4" w:rsidP="00026A55">
      <w:pPr>
        <w:pStyle w:val="TDC3"/>
        <w:spacing w:before="120" w:after="120"/>
        <w:rPr>
          <w:rFonts w:ascii="Calibri" w:hAnsi="Calibri" w:cs="Times New Roman"/>
          <w:b w:val="0"/>
          <w:bCs w:val="0"/>
          <w:noProof/>
          <w:lang w:val="es-CO" w:eastAsia="es-CO"/>
        </w:rPr>
      </w:pPr>
      <w:hyperlink w:anchor="_Toc32778303" w:history="1">
        <w:r w:rsidR="00026A55" w:rsidRPr="00026A55">
          <w:rPr>
            <w:rStyle w:val="Hipervnculo"/>
            <w:b w:val="0"/>
            <w:bCs w:val="0"/>
            <w:noProof/>
          </w:rPr>
          <w:t>4.</w:t>
        </w:r>
        <w:r w:rsidR="00026A55" w:rsidRPr="005235A5">
          <w:rPr>
            <w:rFonts w:ascii="Calibri" w:hAnsi="Calibri" w:cs="Times New Roman"/>
            <w:b w:val="0"/>
            <w:bCs w:val="0"/>
            <w:noProof/>
            <w:lang w:val="es-CO" w:eastAsia="es-CO"/>
          </w:rPr>
          <w:tab/>
        </w:r>
        <w:r w:rsidR="00026A55" w:rsidRPr="00026A55">
          <w:rPr>
            <w:rStyle w:val="Hipervnculo"/>
            <w:b w:val="0"/>
            <w:bCs w:val="0"/>
            <w:noProof/>
          </w:rPr>
          <w:t>NORMAS LEGALES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_Toc32778303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3</w:t>
        </w:r>
        <w:r w:rsidR="00026A55" w:rsidRPr="00026A55">
          <w:rPr>
            <w:b w:val="0"/>
            <w:bCs w:val="0"/>
            <w:noProof/>
            <w:webHidden/>
          </w:rPr>
          <w:fldChar w:fldCharType="end"/>
        </w:r>
      </w:hyperlink>
    </w:p>
    <w:p w14:paraId="531372A5" w14:textId="61C4870B" w:rsidR="00026A55" w:rsidRPr="005235A5" w:rsidRDefault="003B21C4" w:rsidP="00026A55">
      <w:pPr>
        <w:pStyle w:val="TDC3"/>
        <w:spacing w:before="120" w:after="120"/>
        <w:rPr>
          <w:rFonts w:ascii="Calibri" w:hAnsi="Calibri" w:cs="Times New Roman"/>
          <w:b w:val="0"/>
          <w:bCs w:val="0"/>
          <w:noProof/>
          <w:lang w:val="es-CO" w:eastAsia="es-CO"/>
        </w:rPr>
      </w:pPr>
      <w:hyperlink w:anchor="_Toc32778304" w:history="1">
        <w:r w:rsidR="00026A55" w:rsidRPr="00026A55">
          <w:rPr>
            <w:rStyle w:val="Hipervnculo"/>
            <w:b w:val="0"/>
            <w:bCs w:val="0"/>
            <w:noProof/>
          </w:rPr>
          <w:t>5.</w:t>
        </w:r>
        <w:r w:rsidR="00026A55" w:rsidRPr="005235A5">
          <w:rPr>
            <w:rFonts w:ascii="Calibri" w:hAnsi="Calibri" w:cs="Times New Roman"/>
            <w:b w:val="0"/>
            <w:bCs w:val="0"/>
            <w:noProof/>
            <w:lang w:val="es-CO" w:eastAsia="es-CO"/>
          </w:rPr>
          <w:tab/>
        </w:r>
        <w:r w:rsidR="00026A55" w:rsidRPr="00026A55">
          <w:rPr>
            <w:rStyle w:val="Hipervnculo"/>
            <w:b w:val="0"/>
            <w:bCs w:val="0"/>
            <w:noProof/>
          </w:rPr>
          <w:t>NORMAS TÉCNICAS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_Toc32778304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4</w:t>
        </w:r>
        <w:r w:rsidR="00026A55" w:rsidRPr="00026A55">
          <w:rPr>
            <w:b w:val="0"/>
            <w:bCs w:val="0"/>
            <w:noProof/>
            <w:webHidden/>
          </w:rPr>
          <w:fldChar w:fldCharType="end"/>
        </w:r>
      </w:hyperlink>
    </w:p>
    <w:p w14:paraId="2C221323" w14:textId="5C960129" w:rsidR="00026A55" w:rsidRPr="005235A5" w:rsidRDefault="003B21C4" w:rsidP="00026A55">
      <w:pPr>
        <w:pStyle w:val="TDC3"/>
        <w:spacing w:before="120" w:after="120"/>
        <w:rPr>
          <w:rFonts w:ascii="Calibri" w:hAnsi="Calibri" w:cs="Times New Roman"/>
          <w:b w:val="0"/>
          <w:bCs w:val="0"/>
          <w:noProof/>
          <w:lang w:val="es-CO" w:eastAsia="es-CO"/>
        </w:rPr>
      </w:pPr>
      <w:hyperlink w:anchor="_Toc32778305" w:history="1">
        <w:r w:rsidR="00026A55" w:rsidRPr="00026A55">
          <w:rPr>
            <w:rStyle w:val="Hipervnculo"/>
            <w:b w:val="0"/>
            <w:bCs w:val="0"/>
            <w:noProof/>
          </w:rPr>
          <w:t>6.</w:t>
        </w:r>
        <w:r w:rsidR="00026A55" w:rsidRPr="005235A5">
          <w:rPr>
            <w:rFonts w:ascii="Calibri" w:hAnsi="Calibri" w:cs="Times New Roman"/>
            <w:b w:val="0"/>
            <w:bCs w:val="0"/>
            <w:noProof/>
            <w:lang w:val="es-CO" w:eastAsia="es-CO"/>
          </w:rPr>
          <w:tab/>
        </w:r>
        <w:r w:rsidR="00026A55" w:rsidRPr="00026A55">
          <w:rPr>
            <w:rStyle w:val="Hipervnculo"/>
            <w:b w:val="0"/>
            <w:bCs w:val="0"/>
            <w:noProof/>
          </w:rPr>
          <w:t>LINEAMIENTOS GENERALES Y/O POLÍTICAS DE OPERACIÓN</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_Toc32778305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4</w:t>
        </w:r>
        <w:r w:rsidR="00026A55" w:rsidRPr="00026A55">
          <w:rPr>
            <w:b w:val="0"/>
            <w:bCs w:val="0"/>
            <w:noProof/>
            <w:webHidden/>
          </w:rPr>
          <w:fldChar w:fldCharType="end"/>
        </w:r>
      </w:hyperlink>
    </w:p>
    <w:p w14:paraId="3244EE79" w14:textId="45C72FB3" w:rsidR="00026A55" w:rsidRPr="005235A5" w:rsidRDefault="003B21C4" w:rsidP="00026A55">
      <w:pPr>
        <w:pStyle w:val="TDC3"/>
        <w:spacing w:before="120" w:after="120"/>
        <w:rPr>
          <w:rFonts w:ascii="Calibri" w:hAnsi="Calibri" w:cs="Times New Roman"/>
          <w:b w:val="0"/>
          <w:bCs w:val="0"/>
          <w:noProof/>
          <w:lang w:val="es-CO" w:eastAsia="es-CO"/>
        </w:rPr>
      </w:pPr>
      <w:hyperlink w:anchor="_Toc32778306" w:history="1">
        <w:r w:rsidR="00026A55" w:rsidRPr="00026A55">
          <w:rPr>
            <w:rStyle w:val="Hipervnculo"/>
            <w:b w:val="0"/>
            <w:bCs w:val="0"/>
            <w:noProof/>
          </w:rPr>
          <w:t>7.</w:t>
        </w:r>
        <w:r w:rsidR="00026A55" w:rsidRPr="005235A5">
          <w:rPr>
            <w:rFonts w:ascii="Calibri" w:hAnsi="Calibri" w:cs="Times New Roman"/>
            <w:b w:val="0"/>
            <w:bCs w:val="0"/>
            <w:noProof/>
            <w:lang w:val="es-CO" w:eastAsia="es-CO"/>
          </w:rPr>
          <w:tab/>
        </w:r>
        <w:r w:rsidR="00026A55" w:rsidRPr="00026A55">
          <w:rPr>
            <w:rStyle w:val="Hipervnculo"/>
            <w:b w:val="0"/>
            <w:bCs w:val="0"/>
            <w:noProof/>
          </w:rPr>
          <w:t>FORMATOS, REGISTROS O REPORTES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_Toc32778306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4</w:t>
        </w:r>
        <w:r w:rsidR="00026A55" w:rsidRPr="00026A55">
          <w:rPr>
            <w:b w:val="0"/>
            <w:bCs w:val="0"/>
            <w:noProof/>
            <w:webHidden/>
          </w:rPr>
          <w:fldChar w:fldCharType="end"/>
        </w:r>
      </w:hyperlink>
    </w:p>
    <w:p w14:paraId="197D59BF" w14:textId="41681A77" w:rsidR="00026A55" w:rsidRPr="005235A5" w:rsidRDefault="003B21C4" w:rsidP="00026A55">
      <w:pPr>
        <w:pStyle w:val="TDC3"/>
        <w:spacing w:before="120" w:after="120"/>
        <w:rPr>
          <w:rFonts w:ascii="Calibri" w:hAnsi="Calibri" w:cs="Times New Roman"/>
          <w:b w:val="0"/>
          <w:bCs w:val="0"/>
          <w:noProof/>
          <w:lang w:val="es-CO" w:eastAsia="es-CO"/>
        </w:rPr>
      </w:pPr>
      <w:hyperlink w:anchor="_Toc32778307" w:history="1">
        <w:r w:rsidR="00026A55" w:rsidRPr="00026A55">
          <w:rPr>
            <w:rStyle w:val="Hipervnculo"/>
            <w:b w:val="0"/>
            <w:bCs w:val="0"/>
            <w:noProof/>
          </w:rPr>
          <w:t>8.</w:t>
        </w:r>
        <w:r w:rsidR="00026A55" w:rsidRPr="005235A5">
          <w:rPr>
            <w:rFonts w:ascii="Calibri" w:hAnsi="Calibri" w:cs="Times New Roman"/>
            <w:b w:val="0"/>
            <w:bCs w:val="0"/>
            <w:noProof/>
            <w:lang w:val="es-CO" w:eastAsia="es-CO"/>
          </w:rPr>
          <w:tab/>
        </w:r>
        <w:r w:rsidR="00026A55" w:rsidRPr="00026A55">
          <w:rPr>
            <w:rStyle w:val="Hipervnculo"/>
            <w:b w:val="0"/>
            <w:bCs w:val="0"/>
            <w:noProof/>
          </w:rPr>
          <w:t>PROCEDIMIENTO PASO A PASO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_Toc32778307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4</w:t>
        </w:r>
        <w:r w:rsidR="00026A55" w:rsidRPr="00026A55">
          <w:rPr>
            <w:b w:val="0"/>
            <w:bCs w:val="0"/>
            <w:noProof/>
            <w:webHidden/>
          </w:rPr>
          <w:fldChar w:fldCharType="end"/>
        </w:r>
      </w:hyperlink>
    </w:p>
    <w:p w14:paraId="78E8BA4B" w14:textId="6347F45F" w:rsidR="00026A55" w:rsidRPr="005235A5" w:rsidRDefault="003B21C4" w:rsidP="00026A55">
      <w:pPr>
        <w:pStyle w:val="TDC3"/>
        <w:spacing w:before="120" w:after="120"/>
        <w:rPr>
          <w:rFonts w:ascii="Calibri" w:hAnsi="Calibri" w:cs="Times New Roman"/>
          <w:b w:val="0"/>
          <w:bCs w:val="0"/>
          <w:noProof/>
          <w:lang w:val="es-CO" w:eastAsia="es-CO"/>
        </w:rPr>
      </w:pPr>
      <w:hyperlink w:anchor="_Toc32778308" w:history="1">
        <w:r w:rsidR="00026A55" w:rsidRPr="00026A55">
          <w:rPr>
            <w:rStyle w:val="Hipervnculo"/>
            <w:b w:val="0"/>
            <w:bCs w:val="0"/>
            <w:noProof/>
          </w:rPr>
          <w:t>9.</w:t>
        </w:r>
        <w:r w:rsidR="00026A55" w:rsidRPr="005235A5">
          <w:rPr>
            <w:rFonts w:ascii="Calibri" w:hAnsi="Calibri" w:cs="Times New Roman"/>
            <w:b w:val="0"/>
            <w:bCs w:val="0"/>
            <w:noProof/>
            <w:lang w:val="es-CO" w:eastAsia="es-CO"/>
          </w:rPr>
          <w:tab/>
        </w:r>
        <w:r w:rsidR="00026A55" w:rsidRPr="00026A55">
          <w:rPr>
            <w:rStyle w:val="Hipervnculo"/>
            <w:b w:val="0"/>
            <w:bCs w:val="0"/>
            <w:noProof/>
          </w:rPr>
          <w:t>ANEXOS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_Toc32778308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8</w:t>
        </w:r>
        <w:r w:rsidR="00026A55" w:rsidRPr="00026A55">
          <w:rPr>
            <w:b w:val="0"/>
            <w:bCs w:val="0"/>
            <w:noProof/>
            <w:webHidden/>
          </w:rPr>
          <w:fldChar w:fldCharType="end"/>
        </w:r>
      </w:hyperlink>
    </w:p>
    <w:p w14:paraId="133FBB25" w14:textId="7CFB2A49" w:rsidR="00026A55" w:rsidRPr="005235A5" w:rsidRDefault="003B21C4" w:rsidP="00026A55">
      <w:pPr>
        <w:pStyle w:val="TDC3"/>
        <w:spacing w:before="120" w:after="120"/>
        <w:rPr>
          <w:rFonts w:ascii="Calibri" w:hAnsi="Calibri" w:cs="Times New Roman"/>
          <w:b w:val="0"/>
          <w:bCs w:val="0"/>
          <w:noProof/>
          <w:lang w:val="es-CO" w:eastAsia="es-CO"/>
        </w:rPr>
      </w:pPr>
      <w:hyperlink w:anchor="_Toc32778309" w:history="1">
        <w:r w:rsidR="00026A55" w:rsidRPr="00026A55">
          <w:rPr>
            <w:rStyle w:val="Hipervnculo"/>
            <w:b w:val="0"/>
            <w:bCs w:val="0"/>
            <w:noProof/>
          </w:rPr>
          <w:t>10.</w:t>
        </w:r>
        <w:r w:rsidR="00026A55" w:rsidRPr="005235A5">
          <w:rPr>
            <w:rFonts w:ascii="Calibri" w:hAnsi="Calibri" w:cs="Times New Roman"/>
            <w:b w:val="0"/>
            <w:bCs w:val="0"/>
            <w:noProof/>
            <w:lang w:val="es-CO" w:eastAsia="es-CO"/>
          </w:rPr>
          <w:tab/>
        </w:r>
        <w:r w:rsidR="00026A55" w:rsidRPr="00026A55">
          <w:rPr>
            <w:rStyle w:val="Hipervnculo"/>
            <w:b w:val="0"/>
            <w:bCs w:val="0"/>
            <w:noProof/>
          </w:rPr>
          <w:t>CONTROL DE CAMBIOS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_Toc32778309 \h </w:instrText>
        </w:r>
        <w:r w:rsidR="00026A55" w:rsidRPr="00026A55">
          <w:rPr>
            <w:b w:val="0"/>
            <w:bCs w:val="0"/>
            <w:noProof/>
            <w:webHidden/>
          </w:rPr>
        </w:r>
        <w:r w:rsidR="00026A55" w:rsidRPr="00026A55">
          <w:rPr>
            <w:b w:val="0"/>
            <w:bCs w:val="0"/>
            <w:noProof/>
            <w:webHidden/>
          </w:rPr>
          <w:fldChar w:fldCharType="separate"/>
        </w:r>
        <w:r w:rsidR="0087736C">
          <w:rPr>
            <w:b w:val="0"/>
            <w:bCs w:val="0"/>
            <w:noProof/>
            <w:webHidden/>
          </w:rPr>
          <w:t>8</w:t>
        </w:r>
        <w:r w:rsidR="00026A55" w:rsidRPr="00026A55">
          <w:rPr>
            <w:b w:val="0"/>
            <w:bCs w:val="0"/>
            <w:noProof/>
            <w:webHidden/>
          </w:rPr>
          <w:fldChar w:fldCharType="end"/>
        </w:r>
      </w:hyperlink>
    </w:p>
    <w:p w14:paraId="31D5EA98" w14:textId="77777777" w:rsidR="0088645B" w:rsidRDefault="00F404F2" w:rsidP="00026A55">
      <w:pPr>
        <w:pStyle w:val="Titulo"/>
        <w:numPr>
          <w:ilvl w:val="0"/>
          <w:numId w:val="0"/>
        </w:numPr>
        <w:spacing w:before="120" w:after="120" w:line="240" w:lineRule="auto"/>
        <w:rPr>
          <w:rFonts w:ascii="Arial Narrow" w:hAnsi="Arial Narrow"/>
          <w:sz w:val="22"/>
          <w:szCs w:val="22"/>
        </w:rPr>
        <w:sectPr w:rsidR="0088645B" w:rsidSect="00905912">
          <w:headerReference w:type="default" r:id="rId8"/>
          <w:footerReference w:type="default" r:id="rId9"/>
          <w:headerReference w:type="first" r:id="rId10"/>
          <w:footerReference w:type="first" r:id="rId11"/>
          <w:pgSz w:w="12242" w:h="15842" w:code="120"/>
          <w:pgMar w:top="1701" w:right="1134" w:bottom="1418" w:left="1701" w:header="567" w:footer="709" w:gutter="0"/>
          <w:cols w:space="708"/>
          <w:titlePg/>
          <w:docGrid w:linePitch="360"/>
        </w:sectPr>
      </w:pPr>
      <w:r w:rsidRPr="00026A55">
        <w:rPr>
          <w:rFonts w:ascii="Arial Narrow" w:hAnsi="Arial Narrow"/>
          <w:sz w:val="22"/>
          <w:szCs w:val="22"/>
        </w:rPr>
        <w:fldChar w:fldCharType="end"/>
      </w:r>
    </w:p>
    <w:p w14:paraId="58593CCC" w14:textId="7695878E" w:rsidR="00F404F2" w:rsidRPr="00E835FE" w:rsidRDefault="00F404F2" w:rsidP="0093582A">
      <w:pPr>
        <w:pStyle w:val="Ttulo3"/>
        <w:numPr>
          <w:ilvl w:val="0"/>
          <w:numId w:val="10"/>
        </w:numPr>
        <w:tabs>
          <w:tab w:val="left" w:pos="340"/>
        </w:tabs>
        <w:spacing w:after="240" w:line="240" w:lineRule="auto"/>
        <w:ind w:left="340" w:hanging="340"/>
        <w:rPr>
          <w:rFonts w:ascii="Arial Narrow" w:hAnsi="Arial Narrow"/>
          <w:sz w:val="22"/>
          <w:szCs w:val="22"/>
        </w:rPr>
      </w:pPr>
      <w:bookmarkStart w:id="1" w:name="_Toc32778300"/>
      <w:r w:rsidRPr="00E835FE">
        <w:rPr>
          <w:rFonts w:ascii="Arial Narrow" w:hAnsi="Arial Narrow"/>
          <w:sz w:val="22"/>
          <w:szCs w:val="22"/>
        </w:rPr>
        <w:lastRenderedPageBreak/>
        <w:t>OBJETIVO</w:t>
      </w:r>
      <w:bookmarkEnd w:id="1"/>
    </w:p>
    <w:p w14:paraId="727E39E5" w14:textId="3206D7B0" w:rsidR="0002743E" w:rsidRPr="006B3A05" w:rsidRDefault="006A3153" w:rsidP="006B3A05">
      <w:pPr>
        <w:jc w:val="both"/>
        <w:rPr>
          <w:rFonts w:ascii="Arial Narrow" w:hAnsi="Arial Narrow"/>
          <w:sz w:val="22"/>
          <w:szCs w:val="22"/>
        </w:rPr>
      </w:pPr>
      <w:bookmarkStart w:id="2" w:name="_Toc329034535"/>
      <w:bookmarkStart w:id="3" w:name="_Toc286754992"/>
      <w:bookmarkStart w:id="4" w:name="_Toc286757065"/>
      <w:bookmarkStart w:id="5" w:name="_Toc286759758"/>
      <w:bookmarkEnd w:id="2"/>
      <w:bookmarkEnd w:id="3"/>
      <w:bookmarkEnd w:id="4"/>
      <w:bookmarkEnd w:id="5"/>
      <w:r w:rsidRPr="006A3153">
        <w:rPr>
          <w:rFonts w:ascii="Arial Narrow" w:hAnsi="Arial Narrow"/>
          <w:sz w:val="22"/>
          <w:szCs w:val="22"/>
        </w:rPr>
        <w:t xml:space="preserve">Establecer las actividades a realizar en las etapas </w:t>
      </w:r>
      <w:r w:rsidR="00FA076F" w:rsidRPr="006A3153">
        <w:rPr>
          <w:rFonts w:ascii="Arial Narrow" w:hAnsi="Arial Narrow"/>
          <w:sz w:val="22"/>
          <w:szCs w:val="22"/>
        </w:rPr>
        <w:t>precontractual</w:t>
      </w:r>
      <w:r w:rsidRPr="006A3153">
        <w:rPr>
          <w:rFonts w:ascii="Arial Narrow" w:hAnsi="Arial Narrow"/>
          <w:sz w:val="22"/>
          <w:szCs w:val="22"/>
        </w:rPr>
        <w:t xml:space="preserve">, contractual y post contractual en la plataforma </w:t>
      </w:r>
      <w:r w:rsidR="00962F80" w:rsidRPr="006A3153">
        <w:rPr>
          <w:rFonts w:ascii="Arial Narrow" w:hAnsi="Arial Narrow"/>
          <w:sz w:val="22"/>
          <w:szCs w:val="22"/>
        </w:rPr>
        <w:t>SECOP II</w:t>
      </w:r>
      <w:r w:rsidRPr="006A3153">
        <w:rPr>
          <w:rFonts w:ascii="Arial Narrow" w:hAnsi="Arial Narrow"/>
          <w:sz w:val="22"/>
          <w:szCs w:val="22"/>
        </w:rPr>
        <w:t xml:space="preserve"> del proceso de subasta inversa </w:t>
      </w:r>
      <w:r w:rsidR="00962F80" w:rsidRPr="006A3153">
        <w:rPr>
          <w:rFonts w:ascii="Arial Narrow" w:hAnsi="Arial Narrow"/>
          <w:sz w:val="22"/>
          <w:szCs w:val="22"/>
        </w:rPr>
        <w:t>electrónica para</w:t>
      </w:r>
      <w:r w:rsidRPr="006A3153">
        <w:rPr>
          <w:rFonts w:ascii="Arial Narrow" w:hAnsi="Arial Narrow"/>
          <w:sz w:val="22"/>
          <w:szCs w:val="22"/>
        </w:rPr>
        <w:t xml:space="preserve"> optimizar la adquisición de bienes y servicios en Parques Nacionales Naturales</w:t>
      </w:r>
      <w:r w:rsidR="0093582A">
        <w:rPr>
          <w:rFonts w:ascii="Arial Narrow" w:hAnsi="Arial Narrow"/>
          <w:sz w:val="22"/>
          <w:szCs w:val="22"/>
        </w:rPr>
        <w:t xml:space="preserve"> de Colombia – PNCC</w:t>
      </w:r>
      <w:r w:rsidRPr="006A3153">
        <w:rPr>
          <w:rFonts w:ascii="Arial Narrow" w:hAnsi="Arial Narrow"/>
          <w:sz w:val="22"/>
          <w:szCs w:val="22"/>
        </w:rPr>
        <w:t>.</w:t>
      </w:r>
    </w:p>
    <w:p w14:paraId="6F7FF396" w14:textId="77777777" w:rsidR="0002743E" w:rsidRPr="00E835FE" w:rsidRDefault="00F404F2" w:rsidP="0093582A">
      <w:pPr>
        <w:pStyle w:val="Ttulo3"/>
        <w:numPr>
          <w:ilvl w:val="0"/>
          <w:numId w:val="10"/>
        </w:numPr>
        <w:tabs>
          <w:tab w:val="left" w:pos="340"/>
        </w:tabs>
        <w:spacing w:after="240" w:line="240" w:lineRule="auto"/>
        <w:ind w:left="340" w:hanging="340"/>
        <w:rPr>
          <w:rFonts w:ascii="Arial Narrow" w:hAnsi="Arial Narrow"/>
          <w:sz w:val="22"/>
          <w:szCs w:val="22"/>
        </w:rPr>
      </w:pPr>
      <w:bookmarkStart w:id="6" w:name="_Toc32778301"/>
      <w:r w:rsidRPr="00E835FE">
        <w:rPr>
          <w:rFonts w:ascii="Arial Narrow" w:hAnsi="Arial Narrow"/>
          <w:sz w:val="22"/>
          <w:szCs w:val="22"/>
        </w:rPr>
        <w:t>ALCANCE</w:t>
      </w:r>
      <w:bookmarkEnd w:id="6"/>
    </w:p>
    <w:p w14:paraId="1AB0A2D4" w14:textId="162819C9" w:rsidR="0002743E" w:rsidRPr="006B3A05" w:rsidRDefault="006A3153" w:rsidP="0002743E">
      <w:pPr>
        <w:jc w:val="both"/>
        <w:rPr>
          <w:rFonts w:ascii="Arial Narrow" w:hAnsi="Arial Narrow"/>
          <w:sz w:val="22"/>
          <w:szCs w:val="22"/>
        </w:rPr>
      </w:pPr>
      <w:r w:rsidRPr="006A3153">
        <w:rPr>
          <w:rFonts w:ascii="Arial Narrow" w:hAnsi="Arial Narrow"/>
          <w:sz w:val="22"/>
          <w:szCs w:val="22"/>
        </w:rPr>
        <w:t>Inicia con la elaboración del estudio previo y finaliza con la publicación de la liquidación del contrato. Aplica al Nivel Central y Territorial.</w:t>
      </w:r>
    </w:p>
    <w:p w14:paraId="09E5867A" w14:textId="5E5B8025" w:rsidR="006D6BE3" w:rsidRPr="0093582A" w:rsidRDefault="00F50304" w:rsidP="006D6BE3">
      <w:pPr>
        <w:pStyle w:val="Ttulo3"/>
        <w:numPr>
          <w:ilvl w:val="0"/>
          <w:numId w:val="10"/>
        </w:numPr>
        <w:tabs>
          <w:tab w:val="left" w:pos="340"/>
        </w:tabs>
        <w:spacing w:after="240" w:line="240" w:lineRule="auto"/>
        <w:ind w:left="340" w:hanging="340"/>
        <w:rPr>
          <w:rFonts w:ascii="Arial Narrow" w:hAnsi="Arial Narrow"/>
          <w:sz w:val="22"/>
          <w:szCs w:val="22"/>
        </w:rPr>
      </w:pPr>
      <w:bookmarkStart w:id="7" w:name="_Toc27490432"/>
      <w:bookmarkStart w:id="8" w:name="_Toc32778302"/>
      <w:bookmarkEnd w:id="7"/>
      <w:r w:rsidRPr="00E835FE">
        <w:rPr>
          <w:rFonts w:ascii="Arial Narrow" w:hAnsi="Arial Narrow"/>
          <w:sz w:val="22"/>
          <w:szCs w:val="22"/>
        </w:rPr>
        <w:t>DEFINICIONES</w:t>
      </w:r>
      <w:bookmarkEnd w:id="8"/>
    </w:p>
    <w:tbl>
      <w:tblPr>
        <w:tblW w:w="9660" w:type="dxa"/>
        <w:tblCellMar>
          <w:left w:w="70" w:type="dxa"/>
          <w:right w:w="70" w:type="dxa"/>
        </w:tblCellMar>
        <w:tblLook w:val="04A0" w:firstRow="1" w:lastRow="0" w:firstColumn="1" w:lastColumn="0" w:noHBand="0" w:noVBand="1"/>
      </w:tblPr>
      <w:tblGrid>
        <w:gridCol w:w="2552"/>
        <w:gridCol w:w="7108"/>
      </w:tblGrid>
      <w:tr w:rsidR="006D6BE3" w14:paraId="10418EA5" w14:textId="77777777" w:rsidTr="0093582A">
        <w:trPr>
          <w:trHeight w:val="361"/>
        </w:trPr>
        <w:tc>
          <w:tcPr>
            <w:tcW w:w="2552" w:type="dxa"/>
            <w:tcBorders>
              <w:top w:val="nil"/>
              <w:left w:val="nil"/>
              <w:bottom w:val="nil"/>
              <w:right w:val="nil"/>
            </w:tcBorders>
            <w:shd w:val="clear" w:color="auto" w:fill="auto"/>
            <w:noWrap/>
            <w:hideMark/>
          </w:tcPr>
          <w:p w14:paraId="700DD3B6"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ADENDA </w:t>
            </w:r>
          </w:p>
        </w:tc>
        <w:tc>
          <w:tcPr>
            <w:tcW w:w="7108" w:type="dxa"/>
            <w:tcBorders>
              <w:top w:val="nil"/>
              <w:left w:val="nil"/>
              <w:bottom w:val="nil"/>
              <w:right w:val="nil"/>
            </w:tcBorders>
            <w:shd w:val="clear" w:color="auto" w:fill="auto"/>
            <w:hideMark/>
          </w:tcPr>
          <w:p w14:paraId="5D7FF0B1" w14:textId="773D67AA" w:rsidR="006D6BE3" w:rsidRPr="0057093D" w:rsidRDefault="006D6BE3" w:rsidP="00E6727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 Documento por medio del cual la </w:t>
            </w:r>
            <w:r w:rsidR="00E67278">
              <w:rPr>
                <w:rFonts w:ascii="Arial Narrow" w:hAnsi="Arial Narrow"/>
                <w:color w:val="000000"/>
                <w:sz w:val="22"/>
                <w:szCs w:val="22"/>
              </w:rPr>
              <w:t>e</w:t>
            </w:r>
            <w:r w:rsidRPr="0057093D">
              <w:rPr>
                <w:rFonts w:ascii="Arial Narrow" w:hAnsi="Arial Narrow"/>
                <w:color w:val="000000"/>
                <w:sz w:val="22"/>
                <w:szCs w:val="22"/>
              </w:rPr>
              <w:t xml:space="preserve">ntidad </w:t>
            </w:r>
            <w:r w:rsidR="00E67278">
              <w:rPr>
                <w:rFonts w:ascii="Arial Narrow" w:hAnsi="Arial Narrow"/>
                <w:color w:val="000000"/>
                <w:sz w:val="22"/>
                <w:szCs w:val="22"/>
              </w:rPr>
              <w:t>e</w:t>
            </w:r>
            <w:r w:rsidRPr="0057093D">
              <w:rPr>
                <w:rFonts w:ascii="Arial Narrow" w:hAnsi="Arial Narrow"/>
                <w:color w:val="000000"/>
                <w:sz w:val="22"/>
                <w:szCs w:val="22"/>
              </w:rPr>
              <w:t>statal modifica los pliegos de condiciones.</w:t>
            </w:r>
          </w:p>
        </w:tc>
      </w:tr>
      <w:tr w:rsidR="006D6BE3" w14:paraId="1BC6E840" w14:textId="77777777" w:rsidTr="0093582A">
        <w:trPr>
          <w:trHeight w:val="807"/>
        </w:trPr>
        <w:tc>
          <w:tcPr>
            <w:tcW w:w="2552" w:type="dxa"/>
            <w:tcBorders>
              <w:top w:val="nil"/>
              <w:left w:val="nil"/>
              <w:bottom w:val="nil"/>
              <w:right w:val="nil"/>
            </w:tcBorders>
            <w:shd w:val="clear" w:color="auto" w:fill="auto"/>
            <w:noWrap/>
            <w:hideMark/>
          </w:tcPr>
          <w:p w14:paraId="3E0A0956"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ANÁLISIS DEL SECTOR</w:t>
            </w:r>
          </w:p>
        </w:tc>
        <w:tc>
          <w:tcPr>
            <w:tcW w:w="7108" w:type="dxa"/>
            <w:tcBorders>
              <w:top w:val="nil"/>
              <w:left w:val="nil"/>
              <w:bottom w:val="nil"/>
              <w:right w:val="nil"/>
            </w:tcBorders>
            <w:shd w:val="clear" w:color="auto" w:fill="auto"/>
            <w:hideMark/>
          </w:tcPr>
          <w:p w14:paraId="22150754" w14:textId="09BECF9C"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Estudio que permite identificar el mercado al cual pertenecen los bienes, obras o servicios a contratar, además permite establecer el contexto del Proceso de Adquisiciones de Bienes y Servicios, identificar algunos de los </w:t>
            </w:r>
            <w:r w:rsidR="003D6CB0" w:rsidRPr="00A31F8F">
              <w:rPr>
                <w:rFonts w:ascii="Arial Narrow" w:hAnsi="Arial Narrow"/>
                <w:color w:val="000000"/>
                <w:sz w:val="22"/>
                <w:szCs w:val="22"/>
              </w:rPr>
              <w:t xml:space="preserve">y </w:t>
            </w:r>
            <w:r w:rsidR="003D6CB0" w:rsidRPr="00EC5EE7">
              <w:rPr>
                <w:rFonts w:ascii="Arial Narrow" w:hAnsi="Arial Narrow"/>
                <w:color w:val="000000"/>
                <w:sz w:val="22"/>
                <w:szCs w:val="22"/>
              </w:rPr>
              <w:t>determinar los requisitos habilitantes y la forma de evaluar las ofertas</w:t>
            </w:r>
            <w:r w:rsidR="003D6CB0">
              <w:rPr>
                <w:rFonts w:ascii="Arial Narrow" w:hAnsi="Arial Narrow"/>
                <w:color w:val="000000"/>
                <w:sz w:val="22"/>
                <w:szCs w:val="22"/>
              </w:rPr>
              <w:t>.</w:t>
            </w:r>
          </w:p>
        </w:tc>
      </w:tr>
      <w:tr w:rsidR="006D6BE3" w14:paraId="7C6C58AB" w14:textId="77777777" w:rsidTr="0093582A">
        <w:trPr>
          <w:trHeight w:val="839"/>
        </w:trPr>
        <w:tc>
          <w:tcPr>
            <w:tcW w:w="2552" w:type="dxa"/>
            <w:tcBorders>
              <w:top w:val="nil"/>
              <w:left w:val="nil"/>
              <w:bottom w:val="nil"/>
              <w:right w:val="nil"/>
            </w:tcBorders>
            <w:shd w:val="clear" w:color="auto" w:fill="auto"/>
            <w:noWrap/>
            <w:hideMark/>
          </w:tcPr>
          <w:p w14:paraId="38C8A4B6"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ANEXO TÉCNICO</w:t>
            </w:r>
          </w:p>
        </w:tc>
        <w:tc>
          <w:tcPr>
            <w:tcW w:w="7108" w:type="dxa"/>
            <w:tcBorders>
              <w:top w:val="nil"/>
              <w:left w:val="nil"/>
              <w:bottom w:val="nil"/>
              <w:right w:val="nil"/>
            </w:tcBorders>
            <w:shd w:val="clear" w:color="auto" w:fill="auto"/>
            <w:hideMark/>
          </w:tcPr>
          <w:p w14:paraId="04639C35" w14:textId="782F480B" w:rsidR="006D6BE3" w:rsidRPr="0057093D" w:rsidRDefault="00E67278" w:rsidP="0093582A">
            <w:pPr>
              <w:spacing w:before="80" w:after="80"/>
              <w:jc w:val="both"/>
              <w:rPr>
                <w:rFonts w:ascii="Arial Narrow" w:hAnsi="Arial Narrow"/>
                <w:color w:val="000000"/>
                <w:sz w:val="22"/>
                <w:szCs w:val="22"/>
              </w:rPr>
            </w:pPr>
            <w:r>
              <w:rPr>
                <w:rFonts w:ascii="Arial Narrow" w:hAnsi="Arial Narrow"/>
                <w:color w:val="000000"/>
                <w:sz w:val="22"/>
                <w:szCs w:val="22"/>
              </w:rPr>
              <w:t>D</w:t>
            </w:r>
            <w:r w:rsidR="006D6BE3" w:rsidRPr="0057093D">
              <w:rPr>
                <w:rFonts w:ascii="Arial Narrow" w:hAnsi="Arial Narrow"/>
                <w:color w:val="000000"/>
                <w:sz w:val="22"/>
                <w:szCs w:val="22"/>
              </w:rPr>
              <w:t>ocumento que contiene las características y especificaciones del objeto a contratar, en el cual se contemplan entre otras la metodología, las actividades, el cronograma y demás aspectos relacionados con la ejecución del contrato.</w:t>
            </w:r>
          </w:p>
        </w:tc>
      </w:tr>
      <w:tr w:rsidR="006D6BE3" w14:paraId="0F171CC0" w14:textId="77777777" w:rsidTr="0093582A">
        <w:trPr>
          <w:trHeight w:val="535"/>
        </w:trPr>
        <w:tc>
          <w:tcPr>
            <w:tcW w:w="2552" w:type="dxa"/>
            <w:tcBorders>
              <w:top w:val="nil"/>
              <w:left w:val="nil"/>
              <w:bottom w:val="nil"/>
              <w:right w:val="nil"/>
            </w:tcBorders>
            <w:shd w:val="clear" w:color="auto" w:fill="auto"/>
            <w:noWrap/>
            <w:hideMark/>
          </w:tcPr>
          <w:p w14:paraId="639299E5" w14:textId="6EFF02C5" w:rsidR="006D6BE3" w:rsidRPr="0057093D" w:rsidRDefault="00042FC0" w:rsidP="0093582A">
            <w:pPr>
              <w:spacing w:before="80" w:after="80"/>
              <w:rPr>
                <w:rFonts w:ascii="Arial Narrow" w:hAnsi="Arial Narrow"/>
                <w:b/>
                <w:bCs/>
                <w:color w:val="000000"/>
                <w:sz w:val="22"/>
                <w:szCs w:val="22"/>
              </w:rPr>
            </w:pPr>
            <w:r>
              <w:rPr>
                <w:rFonts w:ascii="Arial Narrow" w:hAnsi="Arial Narrow"/>
                <w:b/>
                <w:bCs/>
                <w:color w:val="000000"/>
                <w:sz w:val="22"/>
                <w:szCs w:val="22"/>
              </w:rPr>
              <w:t>CERTIFICADO DE DISPONIBILIDAD PRESUPUESTAL</w:t>
            </w:r>
          </w:p>
        </w:tc>
        <w:tc>
          <w:tcPr>
            <w:tcW w:w="7108" w:type="dxa"/>
            <w:tcBorders>
              <w:top w:val="nil"/>
              <w:left w:val="nil"/>
              <w:bottom w:val="nil"/>
              <w:right w:val="nil"/>
            </w:tcBorders>
            <w:shd w:val="clear" w:color="auto" w:fill="auto"/>
            <w:hideMark/>
          </w:tcPr>
          <w:p w14:paraId="0A26D71D" w14:textId="19216E8D"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mediante el cual se garantiza el principio de legalidad, es decir, la existencia del rubro y la apropiación presupuestal suficiente para atender un gasto determinado.</w:t>
            </w:r>
          </w:p>
        </w:tc>
      </w:tr>
      <w:tr w:rsidR="006D6BE3" w14:paraId="3FBD6AE1" w14:textId="77777777" w:rsidTr="0093582A">
        <w:trPr>
          <w:trHeight w:val="900"/>
        </w:trPr>
        <w:tc>
          <w:tcPr>
            <w:tcW w:w="2552" w:type="dxa"/>
            <w:tcBorders>
              <w:top w:val="nil"/>
              <w:left w:val="nil"/>
              <w:bottom w:val="nil"/>
              <w:right w:val="nil"/>
            </w:tcBorders>
            <w:shd w:val="clear" w:color="auto" w:fill="auto"/>
            <w:noWrap/>
            <w:hideMark/>
          </w:tcPr>
          <w:p w14:paraId="04B6A17C" w14:textId="5A969BBA"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COMITÉ </w:t>
            </w:r>
            <w:r w:rsidR="0093582A">
              <w:rPr>
                <w:rFonts w:ascii="Arial Narrow" w:hAnsi="Arial Narrow"/>
                <w:b/>
                <w:bCs/>
                <w:color w:val="000000"/>
                <w:sz w:val="22"/>
                <w:szCs w:val="22"/>
              </w:rPr>
              <w:t>DE CONTRATACIÓN</w:t>
            </w:r>
          </w:p>
        </w:tc>
        <w:tc>
          <w:tcPr>
            <w:tcW w:w="7108" w:type="dxa"/>
            <w:tcBorders>
              <w:top w:val="nil"/>
              <w:left w:val="nil"/>
              <w:bottom w:val="nil"/>
              <w:right w:val="nil"/>
            </w:tcBorders>
            <w:shd w:val="clear" w:color="auto" w:fill="auto"/>
            <w:hideMark/>
          </w:tcPr>
          <w:p w14:paraId="6D5DBA35" w14:textId="77777777"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Comité conformado para la observancia de los principios de la contratación pública, que cumple en las instancias delegadas funciones de asesoría, estudio y recomendación sobre temas contractuales.</w:t>
            </w:r>
          </w:p>
        </w:tc>
      </w:tr>
      <w:tr w:rsidR="006D6BE3" w14:paraId="2D82DC45" w14:textId="77777777" w:rsidTr="0093582A">
        <w:trPr>
          <w:trHeight w:val="502"/>
        </w:trPr>
        <w:tc>
          <w:tcPr>
            <w:tcW w:w="2552" w:type="dxa"/>
            <w:tcBorders>
              <w:top w:val="nil"/>
              <w:left w:val="nil"/>
              <w:bottom w:val="nil"/>
              <w:right w:val="nil"/>
            </w:tcBorders>
            <w:shd w:val="clear" w:color="auto" w:fill="auto"/>
            <w:noWrap/>
            <w:hideMark/>
          </w:tcPr>
          <w:p w14:paraId="60BA1BAB"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 CRONOGRAMA</w:t>
            </w:r>
          </w:p>
        </w:tc>
        <w:tc>
          <w:tcPr>
            <w:tcW w:w="7108" w:type="dxa"/>
            <w:tcBorders>
              <w:top w:val="nil"/>
              <w:left w:val="nil"/>
              <w:bottom w:val="nil"/>
              <w:right w:val="nil"/>
            </w:tcBorders>
            <w:shd w:val="clear" w:color="auto" w:fill="auto"/>
            <w:hideMark/>
          </w:tcPr>
          <w:p w14:paraId="5EC45878" w14:textId="329AD185"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en el cual se establecen las fechas, horas y plazos para las actividades propias del Proceso de Contratación y el lugar en el que estas deben llevarse a cabo.</w:t>
            </w:r>
          </w:p>
        </w:tc>
      </w:tr>
      <w:tr w:rsidR="006D6BE3" w14:paraId="7DBCFEEA" w14:textId="77777777" w:rsidTr="0093582A">
        <w:trPr>
          <w:trHeight w:val="600"/>
        </w:trPr>
        <w:tc>
          <w:tcPr>
            <w:tcW w:w="2552" w:type="dxa"/>
            <w:tcBorders>
              <w:top w:val="nil"/>
              <w:left w:val="nil"/>
              <w:bottom w:val="nil"/>
              <w:right w:val="nil"/>
            </w:tcBorders>
            <w:shd w:val="clear" w:color="auto" w:fill="auto"/>
            <w:noWrap/>
            <w:hideMark/>
          </w:tcPr>
          <w:p w14:paraId="10491365"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DE MERCADO</w:t>
            </w:r>
          </w:p>
        </w:tc>
        <w:tc>
          <w:tcPr>
            <w:tcW w:w="7108" w:type="dxa"/>
            <w:tcBorders>
              <w:top w:val="nil"/>
              <w:left w:val="nil"/>
              <w:bottom w:val="nil"/>
              <w:right w:val="nil"/>
            </w:tcBorders>
            <w:shd w:val="clear" w:color="auto" w:fill="auto"/>
            <w:hideMark/>
          </w:tcPr>
          <w:p w14:paraId="5E79B260" w14:textId="78649AED"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Análisis del mercado que da como resultado un comparativo de precios del bien o servicio que se va adquirir. </w:t>
            </w:r>
          </w:p>
        </w:tc>
      </w:tr>
      <w:tr w:rsidR="006D6BE3" w14:paraId="453DC68A" w14:textId="77777777" w:rsidTr="0093582A">
        <w:trPr>
          <w:trHeight w:val="758"/>
        </w:trPr>
        <w:tc>
          <w:tcPr>
            <w:tcW w:w="2552" w:type="dxa"/>
            <w:tcBorders>
              <w:top w:val="nil"/>
              <w:left w:val="nil"/>
              <w:bottom w:val="nil"/>
              <w:right w:val="nil"/>
            </w:tcBorders>
            <w:shd w:val="clear" w:color="auto" w:fill="auto"/>
            <w:noWrap/>
            <w:hideMark/>
          </w:tcPr>
          <w:p w14:paraId="568C4261"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PREVIO</w:t>
            </w:r>
          </w:p>
        </w:tc>
        <w:tc>
          <w:tcPr>
            <w:tcW w:w="7108" w:type="dxa"/>
            <w:tcBorders>
              <w:top w:val="nil"/>
              <w:left w:val="nil"/>
              <w:bottom w:val="nil"/>
              <w:right w:val="nil"/>
            </w:tcBorders>
            <w:shd w:val="clear" w:color="auto" w:fill="auto"/>
            <w:hideMark/>
          </w:tcPr>
          <w:p w14:paraId="5DDB6851" w14:textId="46987E78"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r w:rsidR="003D6CB0">
              <w:rPr>
                <w:rFonts w:ascii="Arial Narrow" w:hAnsi="Arial Narrow"/>
                <w:color w:val="000000"/>
                <w:sz w:val="22"/>
                <w:szCs w:val="22"/>
              </w:rPr>
              <w:t>.</w:t>
            </w:r>
          </w:p>
        </w:tc>
      </w:tr>
      <w:tr w:rsidR="006D6BE3" w14:paraId="719C8986" w14:textId="77777777" w:rsidTr="0093582A">
        <w:trPr>
          <w:trHeight w:val="803"/>
        </w:trPr>
        <w:tc>
          <w:tcPr>
            <w:tcW w:w="2552" w:type="dxa"/>
            <w:tcBorders>
              <w:top w:val="nil"/>
              <w:left w:val="nil"/>
              <w:bottom w:val="nil"/>
              <w:right w:val="nil"/>
            </w:tcBorders>
            <w:shd w:val="clear" w:color="auto" w:fill="auto"/>
            <w:noWrap/>
            <w:hideMark/>
          </w:tcPr>
          <w:p w14:paraId="6DF6712D"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INTERESADO EN EL PROCESO</w:t>
            </w:r>
          </w:p>
        </w:tc>
        <w:tc>
          <w:tcPr>
            <w:tcW w:w="7108" w:type="dxa"/>
            <w:tcBorders>
              <w:top w:val="nil"/>
              <w:left w:val="nil"/>
              <w:bottom w:val="nil"/>
              <w:right w:val="nil"/>
            </w:tcBorders>
            <w:shd w:val="clear" w:color="auto" w:fill="auto"/>
            <w:hideMark/>
          </w:tcPr>
          <w:p w14:paraId="2260AB68" w14:textId="0B4E5E6B" w:rsidR="006D6BE3" w:rsidRPr="0057093D" w:rsidRDefault="006D6BE3" w:rsidP="00E6727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Persona natural o jurídica que manifiesta interés en conocer o participar en el proceso de contratación de selección abreviada de menor cuantía mediante comentarios, observaciones, preguntas o sugerencias antes de la presentación de las </w:t>
            </w:r>
            <w:r w:rsidR="00E67278">
              <w:rPr>
                <w:rFonts w:ascii="Arial Narrow" w:hAnsi="Arial Narrow"/>
                <w:color w:val="000000"/>
                <w:sz w:val="22"/>
                <w:szCs w:val="22"/>
              </w:rPr>
              <w:t>p</w:t>
            </w:r>
            <w:r w:rsidRPr="0057093D">
              <w:rPr>
                <w:rFonts w:ascii="Arial Narrow" w:hAnsi="Arial Narrow"/>
                <w:color w:val="000000"/>
                <w:sz w:val="22"/>
                <w:szCs w:val="22"/>
              </w:rPr>
              <w:t>ropuestas.</w:t>
            </w:r>
          </w:p>
        </w:tc>
      </w:tr>
      <w:tr w:rsidR="006D6BE3" w14:paraId="7E75AEA8" w14:textId="77777777" w:rsidTr="0093582A">
        <w:trPr>
          <w:trHeight w:val="555"/>
        </w:trPr>
        <w:tc>
          <w:tcPr>
            <w:tcW w:w="2552" w:type="dxa"/>
            <w:tcBorders>
              <w:top w:val="nil"/>
              <w:left w:val="nil"/>
              <w:bottom w:val="nil"/>
              <w:right w:val="nil"/>
            </w:tcBorders>
            <w:shd w:val="clear" w:color="auto" w:fill="auto"/>
            <w:noWrap/>
            <w:hideMark/>
          </w:tcPr>
          <w:p w14:paraId="1D54C43B"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MANIFESTACIÓN DE INTERÉS</w:t>
            </w:r>
          </w:p>
        </w:tc>
        <w:tc>
          <w:tcPr>
            <w:tcW w:w="7108" w:type="dxa"/>
            <w:tcBorders>
              <w:top w:val="nil"/>
              <w:left w:val="nil"/>
              <w:bottom w:val="nil"/>
              <w:right w:val="nil"/>
            </w:tcBorders>
            <w:shd w:val="clear" w:color="auto" w:fill="auto"/>
            <w:hideMark/>
          </w:tcPr>
          <w:p w14:paraId="57F8CA4C" w14:textId="5888D934" w:rsidR="006D6BE3" w:rsidRPr="0057093D" w:rsidRDefault="006D6BE3" w:rsidP="00E6727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Mecanismo por medio del cual una persona natural o jurídica expresa su deseo en participar en un proceso de </w:t>
            </w:r>
            <w:r w:rsidR="00E67278">
              <w:rPr>
                <w:rFonts w:ascii="Arial Narrow" w:hAnsi="Arial Narrow"/>
                <w:color w:val="000000"/>
                <w:sz w:val="22"/>
                <w:szCs w:val="22"/>
              </w:rPr>
              <w:t>s</w:t>
            </w:r>
            <w:r w:rsidRPr="0057093D">
              <w:rPr>
                <w:rFonts w:ascii="Arial Narrow" w:hAnsi="Arial Narrow"/>
                <w:color w:val="000000"/>
                <w:sz w:val="22"/>
                <w:szCs w:val="22"/>
              </w:rPr>
              <w:t xml:space="preserve">elección abreviada de menor cuantía. </w:t>
            </w:r>
          </w:p>
        </w:tc>
      </w:tr>
      <w:tr w:rsidR="006D6BE3" w14:paraId="205AA9E1" w14:textId="77777777" w:rsidTr="0093582A">
        <w:trPr>
          <w:trHeight w:val="622"/>
        </w:trPr>
        <w:tc>
          <w:tcPr>
            <w:tcW w:w="2552" w:type="dxa"/>
            <w:tcBorders>
              <w:top w:val="nil"/>
              <w:left w:val="nil"/>
              <w:bottom w:val="nil"/>
              <w:right w:val="nil"/>
            </w:tcBorders>
            <w:shd w:val="clear" w:color="auto" w:fill="auto"/>
            <w:noWrap/>
            <w:hideMark/>
          </w:tcPr>
          <w:p w14:paraId="03BA5633"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lastRenderedPageBreak/>
              <w:t>MENOR CUANTÍA</w:t>
            </w:r>
          </w:p>
        </w:tc>
        <w:tc>
          <w:tcPr>
            <w:tcW w:w="7108" w:type="dxa"/>
            <w:tcBorders>
              <w:top w:val="nil"/>
              <w:left w:val="nil"/>
              <w:bottom w:val="nil"/>
              <w:right w:val="nil"/>
            </w:tcBorders>
            <w:shd w:val="clear" w:color="auto" w:fill="auto"/>
            <w:hideMark/>
          </w:tcPr>
          <w:p w14:paraId="1E899D0C" w14:textId="78428317" w:rsidR="006D6BE3" w:rsidRPr="0057093D" w:rsidRDefault="006D6BE3" w:rsidP="00E6727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Límite establecido por la Ley con el propósito de determinar la modalidad de contratación a realizar. Los valores determinados por la </w:t>
            </w:r>
            <w:r w:rsidR="00E67278">
              <w:rPr>
                <w:rFonts w:ascii="Arial Narrow" w:hAnsi="Arial Narrow"/>
                <w:color w:val="000000"/>
                <w:sz w:val="22"/>
                <w:szCs w:val="22"/>
              </w:rPr>
              <w:t>l</w:t>
            </w:r>
            <w:r w:rsidRPr="0057093D">
              <w:rPr>
                <w:rFonts w:ascii="Arial Narrow" w:hAnsi="Arial Narrow"/>
                <w:color w:val="000000"/>
                <w:sz w:val="22"/>
                <w:szCs w:val="22"/>
              </w:rPr>
              <w:t xml:space="preserve">ey en función de los presupuestos anuales de las entidades públicas expresados en salarios mínimos. </w:t>
            </w:r>
          </w:p>
        </w:tc>
      </w:tr>
      <w:tr w:rsidR="006D6BE3" w14:paraId="31B14133" w14:textId="77777777" w:rsidTr="0093582A">
        <w:trPr>
          <w:trHeight w:val="600"/>
        </w:trPr>
        <w:tc>
          <w:tcPr>
            <w:tcW w:w="2552" w:type="dxa"/>
            <w:tcBorders>
              <w:top w:val="nil"/>
              <w:left w:val="nil"/>
              <w:bottom w:val="nil"/>
              <w:right w:val="nil"/>
            </w:tcBorders>
            <w:shd w:val="clear" w:color="auto" w:fill="auto"/>
            <w:noWrap/>
            <w:hideMark/>
          </w:tcPr>
          <w:p w14:paraId="5133F261"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OFERTA</w:t>
            </w:r>
          </w:p>
        </w:tc>
        <w:tc>
          <w:tcPr>
            <w:tcW w:w="7108" w:type="dxa"/>
            <w:tcBorders>
              <w:top w:val="nil"/>
              <w:left w:val="nil"/>
              <w:bottom w:val="nil"/>
              <w:right w:val="nil"/>
            </w:tcBorders>
            <w:shd w:val="clear" w:color="auto" w:fill="auto"/>
            <w:hideMark/>
          </w:tcPr>
          <w:p w14:paraId="50E664AE" w14:textId="2AABF69A" w:rsidR="006D6BE3" w:rsidRPr="0057093D" w:rsidRDefault="00E67278" w:rsidP="0093582A">
            <w:pPr>
              <w:spacing w:before="80" w:after="80"/>
              <w:jc w:val="both"/>
              <w:rPr>
                <w:rFonts w:ascii="Arial Narrow" w:hAnsi="Arial Narrow"/>
                <w:color w:val="000000"/>
                <w:sz w:val="22"/>
                <w:szCs w:val="22"/>
              </w:rPr>
            </w:pPr>
            <w:r>
              <w:rPr>
                <w:rFonts w:ascii="Arial Narrow" w:hAnsi="Arial Narrow"/>
                <w:color w:val="000000"/>
                <w:sz w:val="22"/>
                <w:szCs w:val="22"/>
              </w:rPr>
              <w:t>V</w:t>
            </w:r>
            <w:r w:rsidR="006D6BE3" w:rsidRPr="0057093D">
              <w:rPr>
                <w:rFonts w:ascii="Arial Narrow" w:hAnsi="Arial Narrow"/>
                <w:color w:val="000000"/>
                <w:sz w:val="22"/>
                <w:szCs w:val="22"/>
              </w:rPr>
              <w:t>aloración económica contenida en la propuesta presentada a la entidad en un proceso de contratación determinado.</w:t>
            </w:r>
          </w:p>
        </w:tc>
      </w:tr>
      <w:tr w:rsidR="006D6BE3" w14:paraId="09C54957" w14:textId="77777777" w:rsidTr="0093582A">
        <w:trPr>
          <w:trHeight w:val="1026"/>
        </w:trPr>
        <w:tc>
          <w:tcPr>
            <w:tcW w:w="2552" w:type="dxa"/>
            <w:tcBorders>
              <w:top w:val="nil"/>
              <w:left w:val="nil"/>
              <w:bottom w:val="nil"/>
              <w:right w:val="nil"/>
            </w:tcBorders>
            <w:shd w:val="clear" w:color="auto" w:fill="auto"/>
            <w:noWrap/>
            <w:hideMark/>
          </w:tcPr>
          <w:p w14:paraId="781F2122"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PLIEGO DE CONDICIONES</w:t>
            </w:r>
          </w:p>
        </w:tc>
        <w:tc>
          <w:tcPr>
            <w:tcW w:w="7108" w:type="dxa"/>
            <w:tcBorders>
              <w:top w:val="nil"/>
              <w:left w:val="nil"/>
              <w:bottom w:val="nil"/>
              <w:right w:val="nil"/>
            </w:tcBorders>
            <w:shd w:val="clear" w:color="auto" w:fill="auto"/>
            <w:hideMark/>
          </w:tcPr>
          <w:p w14:paraId="5D470CDC" w14:textId="2220457E" w:rsidR="006D6BE3" w:rsidRPr="0057093D" w:rsidRDefault="00E67278" w:rsidP="0093582A">
            <w:pPr>
              <w:spacing w:before="80" w:after="80"/>
              <w:jc w:val="both"/>
              <w:rPr>
                <w:rFonts w:ascii="Arial Narrow" w:hAnsi="Arial Narrow"/>
                <w:color w:val="000000"/>
                <w:sz w:val="22"/>
                <w:szCs w:val="22"/>
              </w:rPr>
            </w:pPr>
            <w:r>
              <w:rPr>
                <w:rFonts w:ascii="Arial Narrow" w:hAnsi="Arial Narrow"/>
                <w:color w:val="000000"/>
                <w:sz w:val="22"/>
                <w:szCs w:val="22"/>
              </w:rPr>
              <w:t>D</w:t>
            </w:r>
            <w:r w:rsidR="006D6BE3" w:rsidRPr="0057093D">
              <w:rPr>
                <w:rFonts w:ascii="Arial Narrow" w:hAnsi="Arial Narrow"/>
                <w:color w:val="000000"/>
                <w:sz w:val="22"/>
                <w:szCs w:val="22"/>
              </w:rPr>
              <w:t>ocumento precontractual mediante el cual se definen de manera exhaustiva y obligatoria las condiciones técnicas, jurídicas y económicas exigidas para la participación en un proceso de Licitación Pública, Selección Abreviada o Concurso de Méritos.</w:t>
            </w:r>
          </w:p>
        </w:tc>
      </w:tr>
      <w:tr w:rsidR="006D6BE3" w14:paraId="2C33C31A" w14:textId="77777777" w:rsidTr="0093582A">
        <w:trPr>
          <w:trHeight w:val="900"/>
        </w:trPr>
        <w:tc>
          <w:tcPr>
            <w:tcW w:w="2552" w:type="dxa"/>
            <w:tcBorders>
              <w:top w:val="nil"/>
              <w:left w:val="nil"/>
              <w:bottom w:val="nil"/>
              <w:right w:val="nil"/>
            </w:tcBorders>
            <w:shd w:val="clear" w:color="auto" w:fill="auto"/>
            <w:noWrap/>
            <w:hideMark/>
          </w:tcPr>
          <w:p w14:paraId="709B33EB"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PROPUESTA</w:t>
            </w:r>
          </w:p>
        </w:tc>
        <w:tc>
          <w:tcPr>
            <w:tcW w:w="7108" w:type="dxa"/>
            <w:tcBorders>
              <w:top w:val="nil"/>
              <w:left w:val="nil"/>
              <w:bottom w:val="nil"/>
              <w:right w:val="nil"/>
            </w:tcBorders>
            <w:shd w:val="clear" w:color="auto" w:fill="auto"/>
            <w:hideMark/>
          </w:tcPr>
          <w:p w14:paraId="0D23A9BF" w14:textId="4B16BA8E" w:rsidR="006D6BE3" w:rsidRPr="0057093D" w:rsidRDefault="006D6BE3" w:rsidP="0093582A">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Conjunto de documentos de orden jurídico, técnico, financiero, administrativo y económico que presentan a la </w:t>
            </w:r>
            <w:r w:rsidR="00E67278">
              <w:rPr>
                <w:rFonts w:ascii="Arial Narrow" w:hAnsi="Arial Narrow"/>
                <w:color w:val="000000"/>
                <w:sz w:val="22"/>
                <w:szCs w:val="22"/>
              </w:rPr>
              <w:t>e</w:t>
            </w:r>
            <w:r w:rsidRPr="0057093D">
              <w:rPr>
                <w:rFonts w:ascii="Arial Narrow" w:hAnsi="Arial Narrow"/>
                <w:color w:val="000000"/>
                <w:sz w:val="22"/>
                <w:szCs w:val="22"/>
              </w:rPr>
              <w:t>ntidad un proponente en un proceso de contratación determinado.</w:t>
            </w:r>
          </w:p>
        </w:tc>
      </w:tr>
      <w:tr w:rsidR="006D6BE3" w14:paraId="70B27954" w14:textId="77777777" w:rsidTr="0093582A">
        <w:trPr>
          <w:trHeight w:val="900"/>
        </w:trPr>
        <w:tc>
          <w:tcPr>
            <w:tcW w:w="2552" w:type="dxa"/>
            <w:tcBorders>
              <w:top w:val="nil"/>
              <w:left w:val="nil"/>
              <w:bottom w:val="nil"/>
              <w:right w:val="nil"/>
            </w:tcBorders>
            <w:shd w:val="clear" w:color="auto" w:fill="auto"/>
            <w:hideMark/>
          </w:tcPr>
          <w:p w14:paraId="58D0978F" w14:textId="77777777" w:rsidR="006D6BE3" w:rsidRPr="0057093D" w:rsidRDefault="006D6BE3" w:rsidP="0093582A">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 SISTEMA ELECTRONICO PARA LA CONTRATACIÓN PUBLICA - SECOP II</w:t>
            </w:r>
          </w:p>
        </w:tc>
        <w:tc>
          <w:tcPr>
            <w:tcW w:w="7108" w:type="dxa"/>
            <w:tcBorders>
              <w:top w:val="nil"/>
              <w:left w:val="nil"/>
              <w:bottom w:val="nil"/>
              <w:right w:val="nil"/>
            </w:tcBorders>
            <w:shd w:val="clear" w:color="auto" w:fill="auto"/>
            <w:hideMark/>
          </w:tcPr>
          <w:p w14:paraId="55531DFE" w14:textId="41FFB3E0" w:rsidR="006D6BE3" w:rsidRPr="0057093D" w:rsidRDefault="00E67278" w:rsidP="0093582A">
            <w:pPr>
              <w:spacing w:before="80" w:after="80"/>
              <w:jc w:val="both"/>
              <w:rPr>
                <w:rFonts w:ascii="Arial Narrow" w:hAnsi="Arial Narrow"/>
                <w:color w:val="000000"/>
                <w:sz w:val="22"/>
                <w:szCs w:val="22"/>
              </w:rPr>
            </w:pPr>
            <w:r>
              <w:rPr>
                <w:rFonts w:ascii="Arial Narrow" w:hAnsi="Arial Narrow"/>
                <w:color w:val="000000"/>
                <w:sz w:val="22"/>
                <w:szCs w:val="22"/>
              </w:rPr>
              <w:t>P</w:t>
            </w:r>
            <w:r w:rsidR="006D6BE3" w:rsidRPr="0057093D">
              <w:rPr>
                <w:rFonts w:ascii="Arial Narrow" w:hAnsi="Arial Narrow"/>
                <w:color w:val="000000"/>
                <w:sz w:val="22"/>
                <w:szCs w:val="22"/>
              </w:rPr>
              <w:t>lataforma electrónica que permite a las Entidades que se rigen por ley 80 de 1993, realizar en forma transaccional toda su contratación, con el fin de salvaguardar los principios genera</w:t>
            </w:r>
            <w:r w:rsidR="003D6CB0">
              <w:rPr>
                <w:rFonts w:ascii="Arial Narrow" w:hAnsi="Arial Narrow"/>
                <w:color w:val="000000"/>
                <w:sz w:val="22"/>
                <w:szCs w:val="22"/>
              </w:rPr>
              <w:t>les</w:t>
            </w:r>
            <w:r w:rsidR="006D6BE3" w:rsidRPr="0057093D">
              <w:rPr>
                <w:rFonts w:ascii="Arial Narrow" w:hAnsi="Arial Narrow"/>
                <w:color w:val="000000"/>
                <w:sz w:val="22"/>
                <w:szCs w:val="22"/>
              </w:rPr>
              <w:t>.</w:t>
            </w:r>
          </w:p>
        </w:tc>
      </w:tr>
    </w:tbl>
    <w:p w14:paraId="5CFFA47E" w14:textId="77777777" w:rsidR="006B3A05" w:rsidRPr="006B3A05" w:rsidRDefault="006B3A05" w:rsidP="006B3A05">
      <w:pPr>
        <w:jc w:val="both"/>
        <w:rPr>
          <w:rFonts w:ascii="Arial Narrow" w:hAnsi="Arial Narrow"/>
          <w:sz w:val="22"/>
          <w:szCs w:val="22"/>
        </w:rPr>
      </w:pPr>
    </w:p>
    <w:p w14:paraId="56566DA8" w14:textId="77777777" w:rsidR="00186FC1" w:rsidRPr="00E835FE" w:rsidRDefault="00186FC1" w:rsidP="00275FE9">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32778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t>NORMAS LEGALES</w:t>
      </w:r>
      <w:bookmarkEnd w:id="46"/>
    </w:p>
    <w:p w14:paraId="24931CD5" w14:textId="74244D00" w:rsidR="002616E7" w:rsidRPr="002616E7" w:rsidRDefault="002616E7"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80 de 1993:</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la cual se expide el Estatuto General de Contratación de la Administración Pública</w:t>
      </w:r>
      <w:r w:rsidR="005B1BCE">
        <w:rPr>
          <w:rFonts w:ascii="Arial Narrow" w:hAnsi="Arial Narrow"/>
          <w:sz w:val="22"/>
          <w:szCs w:val="22"/>
        </w:rPr>
        <w:t>”</w:t>
      </w:r>
      <w:r w:rsidRPr="002616E7">
        <w:rPr>
          <w:rFonts w:ascii="Arial Narrow" w:hAnsi="Arial Narrow"/>
          <w:sz w:val="22"/>
          <w:szCs w:val="22"/>
        </w:rPr>
        <w:t>.</w:t>
      </w:r>
    </w:p>
    <w:p w14:paraId="3AC5E8AD" w14:textId="37C2F223" w:rsidR="002616E7" w:rsidRPr="002616E7" w:rsidRDefault="002616E7"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816 de 2003:</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medio de la cual se apoya a la industria nacional a través de la contratación pública</w:t>
      </w:r>
      <w:r w:rsidR="005B1BCE">
        <w:rPr>
          <w:rFonts w:ascii="Arial Narrow" w:hAnsi="Arial Narrow"/>
          <w:sz w:val="22"/>
          <w:szCs w:val="22"/>
        </w:rPr>
        <w:t>”.</w:t>
      </w:r>
    </w:p>
    <w:p w14:paraId="557C11C2" w14:textId="6341C9AB" w:rsidR="002616E7" w:rsidRPr="002616E7" w:rsidRDefault="002616E7"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sidR="005B1BCE">
        <w:rPr>
          <w:rFonts w:ascii="Arial Narrow" w:hAnsi="Arial Narrow"/>
          <w:sz w:val="22"/>
          <w:szCs w:val="22"/>
        </w:rPr>
        <w:t>”</w:t>
      </w:r>
      <w:r w:rsidRPr="002616E7">
        <w:rPr>
          <w:rFonts w:ascii="Arial Narrow" w:hAnsi="Arial Narrow"/>
          <w:sz w:val="22"/>
          <w:szCs w:val="22"/>
        </w:rPr>
        <w:t>.</w:t>
      </w:r>
    </w:p>
    <w:p w14:paraId="13C2224F" w14:textId="242266B0" w:rsidR="002616E7" w:rsidRPr="002616E7" w:rsidRDefault="002616E7"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p>
    <w:p w14:paraId="19AAFA95" w14:textId="0729D271" w:rsidR="002616E7" w:rsidRPr="002616E7" w:rsidRDefault="002616E7"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1955 de 2019</w:t>
      </w:r>
      <w:r>
        <w:rPr>
          <w:rFonts w:ascii="Arial Narrow" w:hAnsi="Arial Narrow"/>
          <w:sz w:val="22"/>
          <w:szCs w:val="22"/>
        </w:rPr>
        <w:t xml:space="preserve">: </w:t>
      </w:r>
      <w:r w:rsidRPr="002616E7">
        <w:rPr>
          <w:rFonts w:ascii="Arial Narrow" w:hAnsi="Arial Narrow"/>
          <w:sz w:val="22"/>
          <w:szCs w:val="22"/>
        </w:rPr>
        <w:t>"Por la cual se aprueba el Plan Nacional de Desarrollo 2018-2022".</w:t>
      </w:r>
    </w:p>
    <w:p w14:paraId="4F5BDD5A" w14:textId="3A6391DE" w:rsidR="002616E7" w:rsidRPr="002616E7" w:rsidRDefault="002616E7"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r w:rsidR="00E1259A">
        <w:rPr>
          <w:rFonts w:ascii="Arial Narrow" w:hAnsi="Arial Narrow"/>
          <w:sz w:val="22"/>
          <w:szCs w:val="22"/>
        </w:rPr>
        <w:t>.</w:t>
      </w:r>
    </w:p>
    <w:p w14:paraId="51EBD138" w14:textId="77777777" w:rsidR="006D6BE3" w:rsidRPr="002616E7" w:rsidRDefault="006D6BE3"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p>
    <w:p w14:paraId="5EC64256" w14:textId="149E9E79" w:rsidR="006D6BE3" w:rsidRDefault="006D6BE3" w:rsidP="0093582A">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1882 de 2018:</w:t>
      </w:r>
      <w:r w:rsidRPr="002616E7">
        <w:rPr>
          <w:rFonts w:ascii="Arial Narrow" w:hAnsi="Arial Narrow"/>
          <w:sz w:val="22"/>
          <w:szCs w:val="22"/>
        </w:rPr>
        <w:t xml:space="preserve"> </w:t>
      </w:r>
      <w:r w:rsidR="004230CE">
        <w:rPr>
          <w:rFonts w:ascii="Arial Narrow" w:hAnsi="Arial Narrow"/>
          <w:sz w:val="22"/>
          <w:szCs w:val="22"/>
        </w:rPr>
        <w:t>“</w:t>
      </w:r>
      <w:r w:rsidRPr="002616E7">
        <w:rPr>
          <w:rFonts w:ascii="Arial Narrow" w:hAnsi="Arial Narrow"/>
          <w:sz w:val="22"/>
          <w:szCs w:val="22"/>
        </w:rPr>
        <w:t>Por la cual se adicionan, modifican y dictan disposiciones orientadas a fortalecer la Contratación Pública en Colombia, la ley de infraestructura y se dictan otras disposiciones."</w:t>
      </w:r>
    </w:p>
    <w:p w14:paraId="76EBB3C8" w14:textId="77777777" w:rsidR="006D6BE3" w:rsidRDefault="006D6BE3" w:rsidP="0093582A">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b/>
          <w:bCs/>
          <w:sz w:val="22"/>
          <w:szCs w:val="22"/>
        </w:rPr>
        <w:t>Ley 1599 de 2019</w:t>
      </w:r>
      <w:r>
        <w:rPr>
          <w:rFonts w:ascii="Arial Narrow" w:hAnsi="Arial Narrow"/>
          <w:sz w:val="22"/>
          <w:szCs w:val="22"/>
        </w:rPr>
        <w:t xml:space="preserve"> "Por la cual se expide el Plan Nacional de Desarrollo de 2018 – 2022 “Pacto por Colombia, Pacto por la equidad”. </w:t>
      </w:r>
    </w:p>
    <w:p w14:paraId="4B5CF7FE" w14:textId="77777777" w:rsidR="006D6BE3" w:rsidRDefault="006D6BE3" w:rsidP="0093582A">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b/>
          <w:bCs/>
          <w:sz w:val="22"/>
          <w:szCs w:val="22"/>
        </w:rPr>
        <w:t>Ley 2069 de 2020 “</w:t>
      </w:r>
      <w:r>
        <w:rPr>
          <w:rFonts w:ascii="Arial Narrow" w:hAnsi="Arial Narrow"/>
          <w:sz w:val="22"/>
          <w:szCs w:val="22"/>
        </w:rPr>
        <w:t>Por medio del cual se impulsa el emprendimiento en Colombia”.</w:t>
      </w:r>
    </w:p>
    <w:p w14:paraId="48A29A53" w14:textId="77777777" w:rsidR="006D6BE3" w:rsidRDefault="006D6BE3" w:rsidP="0093582A">
      <w:pPr>
        <w:numPr>
          <w:ilvl w:val="0"/>
          <w:numId w:val="19"/>
        </w:numPr>
        <w:tabs>
          <w:tab w:val="left" w:pos="340"/>
        </w:tabs>
        <w:spacing w:before="120" w:after="120"/>
        <w:ind w:left="340" w:hanging="340"/>
        <w:jc w:val="both"/>
        <w:rPr>
          <w:rFonts w:ascii="Arial Narrow" w:hAnsi="Arial Narrow"/>
          <w:sz w:val="22"/>
          <w:szCs w:val="22"/>
        </w:rPr>
      </w:pPr>
      <w:r w:rsidRPr="0057093D">
        <w:rPr>
          <w:rFonts w:ascii="Arial Narrow" w:hAnsi="Arial Narrow"/>
          <w:b/>
          <w:sz w:val="22"/>
          <w:szCs w:val="22"/>
        </w:rPr>
        <w:t>Decreto 310 de 2021</w:t>
      </w:r>
      <w:r w:rsidRPr="0057093D">
        <w:rPr>
          <w:rFonts w:ascii="Arial Narrow" w:hAnsi="Arial Narrow"/>
          <w:sz w:val="22"/>
          <w:szCs w:val="22"/>
        </w:rPr>
        <w:t>: "Por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p>
    <w:p w14:paraId="14C92056" w14:textId="76F9C5F1" w:rsidR="00E1259A" w:rsidRPr="006D6BE3" w:rsidRDefault="006D6BE3" w:rsidP="0093582A">
      <w:pPr>
        <w:numPr>
          <w:ilvl w:val="0"/>
          <w:numId w:val="19"/>
        </w:numPr>
        <w:tabs>
          <w:tab w:val="left" w:pos="340"/>
        </w:tabs>
        <w:spacing w:before="120" w:after="120"/>
        <w:ind w:left="340" w:hanging="340"/>
        <w:jc w:val="both"/>
        <w:rPr>
          <w:rFonts w:ascii="Arial Narrow" w:hAnsi="Arial Narrow"/>
          <w:sz w:val="22"/>
          <w:szCs w:val="22"/>
        </w:rPr>
      </w:pPr>
      <w:r w:rsidRPr="0057093D">
        <w:rPr>
          <w:rFonts w:ascii="Arial Narrow" w:hAnsi="Arial Narrow"/>
          <w:b/>
          <w:sz w:val="22"/>
          <w:szCs w:val="22"/>
        </w:rPr>
        <w:lastRenderedPageBreak/>
        <w:t>Resolución 134 de 2021</w:t>
      </w:r>
      <w:r w:rsidRPr="0057093D">
        <w:rPr>
          <w:rFonts w:ascii="Arial Narrow" w:hAnsi="Arial Narrow"/>
          <w:sz w:val="22"/>
          <w:szCs w:val="22"/>
        </w:rPr>
        <w:t xml:space="preserve"> "Por la cual se conforma el comité de contratación de </w:t>
      </w:r>
      <w:r w:rsidR="004230CE">
        <w:rPr>
          <w:rFonts w:ascii="Arial Narrow" w:hAnsi="Arial Narrow"/>
          <w:sz w:val="22"/>
          <w:szCs w:val="22"/>
        </w:rPr>
        <w:t>P</w:t>
      </w:r>
      <w:r w:rsidRPr="0057093D">
        <w:rPr>
          <w:rFonts w:ascii="Arial Narrow" w:hAnsi="Arial Narrow"/>
          <w:sz w:val="22"/>
          <w:szCs w:val="22"/>
        </w:rPr>
        <w:t xml:space="preserve">arques </w:t>
      </w:r>
      <w:r w:rsidR="004230CE">
        <w:rPr>
          <w:rFonts w:ascii="Arial Narrow" w:hAnsi="Arial Narrow"/>
          <w:sz w:val="22"/>
          <w:szCs w:val="22"/>
        </w:rPr>
        <w:t>N</w:t>
      </w:r>
      <w:r w:rsidRPr="0057093D">
        <w:rPr>
          <w:rFonts w:ascii="Arial Narrow" w:hAnsi="Arial Narrow"/>
          <w:sz w:val="22"/>
          <w:szCs w:val="22"/>
        </w:rPr>
        <w:t xml:space="preserve">acionales </w:t>
      </w:r>
      <w:r w:rsidR="004230CE">
        <w:rPr>
          <w:rFonts w:ascii="Arial Narrow" w:hAnsi="Arial Narrow"/>
          <w:sz w:val="22"/>
          <w:szCs w:val="22"/>
        </w:rPr>
        <w:t>N</w:t>
      </w:r>
      <w:r w:rsidRPr="0057093D">
        <w:rPr>
          <w:rFonts w:ascii="Arial Narrow" w:hAnsi="Arial Narrow"/>
          <w:sz w:val="22"/>
          <w:szCs w:val="22"/>
        </w:rPr>
        <w:t>aturales de Colombia”.</w:t>
      </w:r>
    </w:p>
    <w:p w14:paraId="190012FB" w14:textId="77777777" w:rsidR="000D1AB2" w:rsidRPr="00E835FE" w:rsidRDefault="000D1AB2" w:rsidP="000D1AB2">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47" w:name="_Toc32778304"/>
      <w:r w:rsidRPr="00E835FE">
        <w:rPr>
          <w:rFonts w:ascii="Arial Narrow" w:hAnsi="Arial Narrow"/>
          <w:sz w:val="22"/>
          <w:szCs w:val="22"/>
        </w:rPr>
        <w:t>NORMAS TÉCNICAS</w:t>
      </w:r>
      <w:bookmarkEnd w:id="47"/>
    </w:p>
    <w:p w14:paraId="78BE340E" w14:textId="77777777" w:rsidR="0093582A" w:rsidRPr="00B36FFA" w:rsidRDefault="0093582A" w:rsidP="0093582A">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345DC21D" w:rsidR="00EE2D87" w:rsidRPr="00E835FE" w:rsidRDefault="0093582A" w:rsidP="0093582A">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Circulares y pronunciamientos de Colombia Compra Eficiente</w:t>
      </w:r>
      <w:r w:rsidR="00790E4D">
        <w:rPr>
          <w:rFonts w:ascii="Arial Narrow" w:hAnsi="Arial Narrow"/>
          <w:sz w:val="22"/>
          <w:szCs w:val="22"/>
        </w:rPr>
        <w:t>.</w:t>
      </w:r>
    </w:p>
    <w:p w14:paraId="77B265BE" w14:textId="6979CFDA" w:rsidR="00B36FFA" w:rsidRPr="003D6CB0" w:rsidRDefault="00F36B8B" w:rsidP="003D6CB0">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48" w:name="_Toc32778305"/>
      <w:r w:rsidRPr="00E835FE">
        <w:rPr>
          <w:rFonts w:ascii="Arial Narrow" w:hAnsi="Arial Narrow"/>
          <w:sz w:val="22"/>
          <w:szCs w:val="22"/>
        </w:rPr>
        <w:t>LINEAMIENTOS GENERALES Y/O POLÍTICAS DE OPERACIÓN</w:t>
      </w:r>
      <w:bookmarkEnd w:id="48"/>
    </w:p>
    <w:p w14:paraId="61D30879" w14:textId="4A0DF466" w:rsidR="00C11B3F" w:rsidRDefault="008F6CD3" w:rsidP="0093582A">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 xml:space="preserve">Para el desarrollo del presente procedimiento emplear el </w:t>
      </w:r>
      <w:bookmarkStart w:id="49" w:name="_Hlk112832613"/>
      <w:r w:rsidR="00B36FFA" w:rsidRPr="00B36FFA">
        <w:rPr>
          <w:rFonts w:ascii="Arial Narrow" w:hAnsi="Arial Narrow"/>
          <w:sz w:val="22"/>
          <w:szCs w:val="22"/>
        </w:rPr>
        <w:t xml:space="preserve">Manual de </w:t>
      </w:r>
      <w:r w:rsidR="003D6CB0">
        <w:rPr>
          <w:rFonts w:ascii="Arial Narrow" w:hAnsi="Arial Narrow"/>
          <w:sz w:val="22"/>
          <w:szCs w:val="22"/>
        </w:rPr>
        <w:t>C</w:t>
      </w:r>
      <w:r w:rsidR="00B36FFA" w:rsidRPr="00B36FFA">
        <w:rPr>
          <w:rFonts w:ascii="Arial Narrow" w:hAnsi="Arial Narrow"/>
          <w:sz w:val="22"/>
          <w:szCs w:val="22"/>
        </w:rPr>
        <w:t>ontratación</w:t>
      </w:r>
      <w:r>
        <w:rPr>
          <w:rFonts w:ascii="Arial Narrow" w:hAnsi="Arial Narrow"/>
          <w:sz w:val="22"/>
          <w:szCs w:val="22"/>
        </w:rPr>
        <w:t xml:space="preserve"> y </w:t>
      </w:r>
      <w:r w:rsidR="003D6CB0">
        <w:rPr>
          <w:rFonts w:ascii="Arial Narrow" w:hAnsi="Arial Narrow"/>
          <w:sz w:val="22"/>
          <w:szCs w:val="22"/>
        </w:rPr>
        <w:t xml:space="preserve">Guía Supervisión </w:t>
      </w:r>
      <w:r w:rsidR="00CE443F">
        <w:rPr>
          <w:rFonts w:ascii="Arial Narrow" w:hAnsi="Arial Narrow"/>
          <w:sz w:val="22"/>
          <w:szCs w:val="22"/>
        </w:rPr>
        <w:t xml:space="preserve">e Interventoría </w:t>
      </w:r>
      <w:r w:rsidR="003D6CB0">
        <w:rPr>
          <w:rFonts w:ascii="Arial Narrow" w:hAnsi="Arial Narrow"/>
          <w:sz w:val="22"/>
          <w:szCs w:val="22"/>
        </w:rPr>
        <w:t>vigentes</w:t>
      </w:r>
      <w:bookmarkEnd w:id="49"/>
      <w:r w:rsidR="00B36FFA" w:rsidRPr="00B36FFA">
        <w:rPr>
          <w:rFonts w:ascii="Arial Narrow" w:hAnsi="Arial Narrow"/>
          <w:sz w:val="22"/>
          <w:szCs w:val="22"/>
        </w:rPr>
        <w:t>.</w:t>
      </w:r>
    </w:p>
    <w:p w14:paraId="13280472" w14:textId="013F4F2D" w:rsidR="00B861D2" w:rsidRDefault="00B861D2" w:rsidP="0093582A">
      <w:pPr>
        <w:numPr>
          <w:ilvl w:val="0"/>
          <w:numId w:val="19"/>
        </w:numPr>
        <w:tabs>
          <w:tab w:val="left" w:pos="340"/>
        </w:tabs>
        <w:spacing w:before="120" w:after="120"/>
        <w:ind w:left="340" w:hanging="340"/>
        <w:jc w:val="both"/>
        <w:rPr>
          <w:rFonts w:ascii="Arial Narrow" w:hAnsi="Arial Narrow"/>
          <w:sz w:val="22"/>
          <w:szCs w:val="22"/>
        </w:rPr>
      </w:pPr>
      <w:r w:rsidRPr="0093582A">
        <w:rPr>
          <w:rFonts w:ascii="Arial Narrow" w:hAnsi="Arial Narrow" w:cs="Arial"/>
          <w:sz w:val="22"/>
          <w:szCs w:val="22"/>
        </w:rPr>
        <w:t>Los procesos adelantados en la plataforma SECOP I deberán terminar sus etapas con el procedimiento anterior</w:t>
      </w:r>
      <w:r w:rsidRPr="00D94B7C">
        <w:rPr>
          <w:rFonts w:ascii="Arial Narrow" w:hAnsi="Arial Narrow" w:cs="Arial"/>
          <w:sz w:val="20"/>
          <w:szCs w:val="20"/>
        </w:rPr>
        <w:t>.</w:t>
      </w:r>
    </w:p>
    <w:p w14:paraId="77F904D6" w14:textId="77777777" w:rsidR="00C11B3F" w:rsidRPr="00E835FE" w:rsidRDefault="00FC4037" w:rsidP="00FC4037">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0" w:name="_Toc32778306"/>
      <w:r w:rsidRPr="00E835FE">
        <w:rPr>
          <w:rFonts w:ascii="Arial Narrow" w:hAnsi="Arial Narrow"/>
          <w:sz w:val="22"/>
          <w:szCs w:val="22"/>
        </w:rPr>
        <w:t>FORMATOS, REGISTROS O REPORTES</w:t>
      </w:r>
      <w:bookmarkEnd w:id="50"/>
    </w:p>
    <w:p w14:paraId="273B81C0" w14:textId="0CC72E01" w:rsidR="00A71B6A" w:rsidRPr="00E835FE" w:rsidRDefault="008F6CD3" w:rsidP="00026A55">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N.A</w:t>
      </w:r>
      <w:r w:rsidR="00026A55" w:rsidRPr="00026A55">
        <w:rPr>
          <w:rFonts w:ascii="Arial Narrow" w:hAnsi="Arial Narrow"/>
          <w:sz w:val="22"/>
          <w:szCs w:val="22"/>
        </w:rPr>
        <w:t>.</w:t>
      </w:r>
    </w:p>
    <w:p w14:paraId="30ED6DE8" w14:textId="6D33C28B" w:rsidR="009E3B97" w:rsidRDefault="00C878C8" w:rsidP="008F7376">
      <w:pPr>
        <w:pStyle w:val="Ttulo3"/>
        <w:numPr>
          <w:ilvl w:val="0"/>
          <w:numId w:val="10"/>
        </w:numPr>
        <w:tabs>
          <w:tab w:val="left" w:pos="340"/>
        </w:tabs>
        <w:spacing w:before="160" w:after="160" w:line="240" w:lineRule="auto"/>
        <w:ind w:left="340" w:hanging="340"/>
        <w:rPr>
          <w:rFonts w:ascii="Arial Narrow" w:hAnsi="Arial Narrow"/>
          <w:sz w:val="22"/>
          <w:szCs w:val="22"/>
        </w:rPr>
      </w:pPr>
      <w:bookmarkStart w:id="51" w:name="_Toc32778307"/>
      <w:r w:rsidRPr="00E835FE">
        <w:rPr>
          <w:rFonts w:ascii="Arial Narrow" w:hAnsi="Arial Narrow"/>
          <w:sz w:val="22"/>
          <w:szCs w:val="22"/>
        </w:rPr>
        <w:t>PROCEDIMIENTO PASO A PASO</w:t>
      </w:r>
      <w:bookmarkEnd w:id="51"/>
      <w:r w:rsidRPr="00E835FE">
        <w:rPr>
          <w:rFonts w:ascii="Arial Narrow" w:hAnsi="Arial Narrow"/>
          <w:sz w:val="22"/>
          <w:szCs w:val="22"/>
        </w:rPr>
        <w:t xml:space="preserve"> </w:t>
      </w:r>
    </w:p>
    <w:tbl>
      <w:tblPr>
        <w:tblW w:w="9351" w:type="dxa"/>
        <w:tblLayout w:type="fixed"/>
        <w:tblCellMar>
          <w:left w:w="70" w:type="dxa"/>
          <w:right w:w="70" w:type="dxa"/>
        </w:tblCellMar>
        <w:tblLook w:val="04A0" w:firstRow="1" w:lastRow="0" w:firstColumn="1" w:lastColumn="0" w:noHBand="0" w:noVBand="1"/>
      </w:tblPr>
      <w:tblGrid>
        <w:gridCol w:w="421"/>
        <w:gridCol w:w="3379"/>
        <w:gridCol w:w="1640"/>
        <w:gridCol w:w="1501"/>
        <w:gridCol w:w="2410"/>
      </w:tblGrid>
      <w:tr w:rsidR="00E44785" w14:paraId="655E5C85" w14:textId="77777777" w:rsidTr="002879DC">
        <w:trPr>
          <w:trHeight w:val="465"/>
          <w:tblHeader/>
        </w:trPr>
        <w:tc>
          <w:tcPr>
            <w:tcW w:w="421"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5531D835" w14:textId="77777777" w:rsidR="00E44785" w:rsidRPr="002A2754" w:rsidRDefault="00E44785" w:rsidP="0093582A">
            <w:pPr>
              <w:spacing w:before="80" w:after="80"/>
              <w:jc w:val="center"/>
              <w:rPr>
                <w:rFonts w:ascii="Arial Narrow" w:hAnsi="Arial Narrow" w:cs="Arial"/>
                <w:b/>
                <w:bCs/>
                <w:sz w:val="20"/>
                <w:szCs w:val="20"/>
              </w:rPr>
            </w:pPr>
            <w:r w:rsidRPr="002A2754">
              <w:rPr>
                <w:rFonts w:ascii="Arial Narrow" w:hAnsi="Arial Narrow" w:cs="Arial"/>
                <w:b/>
                <w:bCs/>
                <w:sz w:val="20"/>
                <w:szCs w:val="20"/>
              </w:rPr>
              <w:t>No.</w:t>
            </w:r>
          </w:p>
        </w:tc>
        <w:tc>
          <w:tcPr>
            <w:tcW w:w="3379" w:type="dxa"/>
            <w:tcBorders>
              <w:top w:val="single" w:sz="4" w:space="0" w:color="auto"/>
              <w:left w:val="nil"/>
              <w:bottom w:val="single" w:sz="4" w:space="0" w:color="auto"/>
              <w:right w:val="single" w:sz="4" w:space="0" w:color="000000"/>
            </w:tcBorders>
            <w:shd w:val="clear" w:color="000000" w:fill="DDD9C4"/>
            <w:noWrap/>
            <w:vAlign w:val="center"/>
            <w:hideMark/>
          </w:tcPr>
          <w:p w14:paraId="74404CE8" w14:textId="3F9BA6AA" w:rsidR="00E44785" w:rsidRPr="002A2754" w:rsidRDefault="00E44785" w:rsidP="0093582A">
            <w:pPr>
              <w:spacing w:before="80" w:after="80"/>
              <w:jc w:val="center"/>
              <w:rPr>
                <w:rFonts w:ascii="Arial Narrow" w:hAnsi="Arial Narrow" w:cs="Arial"/>
                <w:b/>
                <w:bCs/>
                <w:sz w:val="20"/>
                <w:szCs w:val="20"/>
              </w:rPr>
            </w:pPr>
            <w:r w:rsidRPr="002A2754">
              <w:rPr>
                <w:rFonts w:ascii="Arial Narrow" w:hAnsi="Arial Narrow" w:cs="Arial"/>
                <w:b/>
                <w:bCs/>
                <w:sz w:val="20"/>
                <w:szCs w:val="20"/>
              </w:rPr>
              <w:t>ACTIVIDAD</w:t>
            </w:r>
          </w:p>
        </w:tc>
        <w:tc>
          <w:tcPr>
            <w:tcW w:w="1640" w:type="dxa"/>
            <w:tcBorders>
              <w:top w:val="single" w:sz="4" w:space="0" w:color="auto"/>
              <w:left w:val="nil"/>
              <w:bottom w:val="single" w:sz="4" w:space="0" w:color="auto"/>
              <w:right w:val="single" w:sz="4" w:space="0" w:color="auto"/>
            </w:tcBorders>
            <w:shd w:val="clear" w:color="000000" w:fill="DDD9C4"/>
            <w:noWrap/>
            <w:vAlign w:val="center"/>
            <w:hideMark/>
          </w:tcPr>
          <w:p w14:paraId="61D35072" w14:textId="51558F04" w:rsidR="00E44785" w:rsidRPr="002A2754" w:rsidRDefault="00E44785" w:rsidP="0093582A">
            <w:pPr>
              <w:spacing w:before="80" w:after="80"/>
              <w:jc w:val="center"/>
              <w:rPr>
                <w:rFonts w:ascii="Arial Narrow" w:hAnsi="Arial Narrow" w:cs="Arial"/>
                <w:b/>
                <w:bCs/>
                <w:sz w:val="20"/>
                <w:szCs w:val="20"/>
              </w:rPr>
            </w:pPr>
            <w:r w:rsidRPr="002A2754">
              <w:rPr>
                <w:rFonts w:ascii="Arial Narrow" w:hAnsi="Arial Narrow" w:cs="Arial"/>
                <w:b/>
                <w:bCs/>
                <w:sz w:val="20"/>
                <w:szCs w:val="20"/>
              </w:rPr>
              <w:t>RESPONSABLE</w:t>
            </w:r>
          </w:p>
        </w:tc>
        <w:tc>
          <w:tcPr>
            <w:tcW w:w="1501" w:type="dxa"/>
            <w:tcBorders>
              <w:top w:val="single" w:sz="4" w:space="0" w:color="auto"/>
              <w:left w:val="nil"/>
              <w:bottom w:val="single" w:sz="4" w:space="0" w:color="auto"/>
              <w:right w:val="single" w:sz="4" w:space="0" w:color="auto"/>
            </w:tcBorders>
            <w:shd w:val="clear" w:color="000000" w:fill="DDD9C4"/>
            <w:noWrap/>
            <w:vAlign w:val="center"/>
            <w:hideMark/>
          </w:tcPr>
          <w:p w14:paraId="02C22279" w14:textId="77777777" w:rsidR="00E44785" w:rsidRPr="002A2754" w:rsidRDefault="00E44785" w:rsidP="0093582A">
            <w:pPr>
              <w:spacing w:before="80" w:after="80"/>
              <w:jc w:val="center"/>
              <w:rPr>
                <w:rFonts w:ascii="Arial Narrow" w:hAnsi="Arial Narrow" w:cs="Arial"/>
                <w:b/>
                <w:bCs/>
                <w:sz w:val="20"/>
                <w:szCs w:val="20"/>
              </w:rPr>
            </w:pPr>
            <w:r w:rsidRPr="002A2754">
              <w:rPr>
                <w:rFonts w:ascii="Arial Narrow" w:hAnsi="Arial Narrow" w:cs="Arial"/>
                <w:b/>
                <w:bCs/>
                <w:sz w:val="20"/>
                <w:szCs w:val="20"/>
              </w:rPr>
              <w:t>DOCUMENTOS DE REFERENCIA</w:t>
            </w:r>
          </w:p>
        </w:tc>
        <w:tc>
          <w:tcPr>
            <w:tcW w:w="2410" w:type="dxa"/>
            <w:tcBorders>
              <w:top w:val="single" w:sz="4" w:space="0" w:color="auto"/>
              <w:left w:val="nil"/>
              <w:bottom w:val="single" w:sz="4" w:space="0" w:color="auto"/>
              <w:right w:val="single" w:sz="4" w:space="0" w:color="auto"/>
            </w:tcBorders>
            <w:shd w:val="clear" w:color="000000" w:fill="DDD9C4"/>
            <w:noWrap/>
            <w:vAlign w:val="center"/>
            <w:hideMark/>
          </w:tcPr>
          <w:p w14:paraId="6CB13580" w14:textId="77777777" w:rsidR="00E44785" w:rsidRPr="002A2754" w:rsidRDefault="00E44785" w:rsidP="0093582A">
            <w:pPr>
              <w:spacing w:before="80" w:after="80"/>
              <w:jc w:val="center"/>
              <w:rPr>
                <w:rFonts w:ascii="Arial Narrow" w:hAnsi="Arial Narrow" w:cs="Arial"/>
                <w:b/>
                <w:bCs/>
                <w:sz w:val="20"/>
                <w:szCs w:val="20"/>
              </w:rPr>
            </w:pPr>
            <w:r w:rsidRPr="002A2754">
              <w:rPr>
                <w:rFonts w:ascii="Arial Narrow" w:hAnsi="Arial Narrow" w:cs="Arial"/>
                <w:b/>
                <w:bCs/>
                <w:sz w:val="20"/>
                <w:szCs w:val="20"/>
              </w:rPr>
              <w:t>PUNTOS DE CONTROL</w:t>
            </w:r>
          </w:p>
        </w:tc>
      </w:tr>
      <w:tr w:rsidR="00E44785" w14:paraId="03344590" w14:textId="77777777" w:rsidTr="002879DC">
        <w:trPr>
          <w:trHeight w:val="345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010562C"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66F44B3F" w14:textId="77777777" w:rsidR="003D6CB0" w:rsidRDefault="003D6CB0" w:rsidP="003D6CB0">
            <w:pPr>
              <w:spacing w:before="80" w:after="80"/>
              <w:jc w:val="both"/>
              <w:rPr>
                <w:rFonts w:ascii="Arial Narrow" w:hAnsi="Arial Narrow" w:cs="Arial"/>
                <w:sz w:val="20"/>
                <w:szCs w:val="20"/>
              </w:rPr>
            </w:pPr>
            <w:r w:rsidRPr="009135AD">
              <w:rPr>
                <w:rFonts w:ascii="Arial Narrow" w:hAnsi="Arial Narrow" w:cs="Arial"/>
                <w:sz w:val="20"/>
                <w:szCs w:val="20"/>
              </w:rPr>
              <w:t xml:space="preserve">Remitir </w:t>
            </w:r>
            <w:r>
              <w:rPr>
                <w:rFonts w:ascii="Arial Narrow" w:hAnsi="Arial Narrow" w:cs="Arial"/>
                <w:sz w:val="20"/>
                <w:szCs w:val="20"/>
              </w:rPr>
              <w:t xml:space="preserve">al Grupo de Contratos por Orfeo </w:t>
            </w:r>
            <w:r w:rsidRPr="009135AD">
              <w:rPr>
                <w:rFonts w:ascii="Arial Narrow" w:hAnsi="Arial Narrow" w:cs="Arial"/>
                <w:sz w:val="20"/>
                <w:szCs w:val="20"/>
              </w:rPr>
              <w:t xml:space="preserve">el estudio previo conforme </w:t>
            </w:r>
            <w:r>
              <w:rPr>
                <w:rFonts w:ascii="Arial Narrow" w:hAnsi="Arial Narrow" w:cs="Arial"/>
                <w:sz w:val="20"/>
                <w:szCs w:val="20"/>
              </w:rPr>
              <w:t xml:space="preserve">a </w:t>
            </w:r>
            <w:r w:rsidRPr="009135AD">
              <w:rPr>
                <w:rFonts w:ascii="Arial Narrow" w:hAnsi="Arial Narrow" w:cs="Arial"/>
                <w:sz w:val="20"/>
                <w:szCs w:val="20"/>
              </w:rPr>
              <w:t>lo dispuesto en el artículo 2.2.1.1.2.1.1 del Decreto 1082 de 2015 junto con el análisis del sector elaborado de acuerdo al formato existente</w:t>
            </w:r>
            <w:r>
              <w:rPr>
                <w:rFonts w:ascii="Arial Narrow" w:hAnsi="Arial Narrow" w:cs="Arial"/>
                <w:sz w:val="20"/>
                <w:szCs w:val="20"/>
              </w:rPr>
              <w:t xml:space="preserve"> y demás documentación requerida conforme a la normatividad vigente, la </w:t>
            </w:r>
            <w:r w:rsidRPr="009135AD">
              <w:rPr>
                <w:rFonts w:ascii="Arial Narrow" w:hAnsi="Arial Narrow" w:cs="Arial"/>
                <w:sz w:val="20"/>
                <w:szCs w:val="20"/>
              </w:rPr>
              <w:t xml:space="preserve">circular </w:t>
            </w:r>
            <w:r>
              <w:rPr>
                <w:rFonts w:ascii="Arial Narrow" w:hAnsi="Arial Narrow" w:cs="Arial"/>
                <w:sz w:val="20"/>
                <w:szCs w:val="20"/>
              </w:rPr>
              <w:t xml:space="preserve">o lineamientos </w:t>
            </w:r>
            <w:r w:rsidRPr="009135AD">
              <w:rPr>
                <w:rFonts w:ascii="Arial Narrow" w:hAnsi="Arial Narrow" w:cs="Arial"/>
                <w:sz w:val="20"/>
                <w:szCs w:val="20"/>
              </w:rPr>
              <w:t>emitid</w:t>
            </w:r>
            <w:r>
              <w:rPr>
                <w:rFonts w:ascii="Arial Narrow" w:hAnsi="Arial Narrow" w:cs="Arial"/>
                <w:sz w:val="20"/>
                <w:szCs w:val="20"/>
              </w:rPr>
              <w:t>os</w:t>
            </w:r>
            <w:r w:rsidRPr="009135AD">
              <w:rPr>
                <w:rFonts w:ascii="Arial Narrow" w:hAnsi="Arial Narrow" w:cs="Arial"/>
                <w:sz w:val="20"/>
                <w:szCs w:val="20"/>
              </w:rPr>
              <w:t xml:space="preserve"> por la entidad </w:t>
            </w:r>
            <w:r>
              <w:rPr>
                <w:rFonts w:ascii="Arial Narrow" w:hAnsi="Arial Narrow" w:cs="Arial"/>
                <w:sz w:val="20"/>
                <w:szCs w:val="20"/>
              </w:rPr>
              <w:t xml:space="preserve">y por </w:t>
            </w:r>
            <w:r w:rsidRPr="009135AD">
              <w:rPr>
                <w:rFonts w:ascii="Arial Narrow" w:hAnsi="Arial Narrow" w:cs="Arial"/>
                <w:sz w:val="20"/>
                <w:szCs w:val="20"/>
              </w:rPr>
              <w:t>Colombia Compra Eficiente</w:t>
            </w:r>
            <w:r>
              <w:rPr>
                <w:rFonts w:ascii="Arial Narrow" w:hAnsi="Arial Narrow" w:cs="Arial"/>
                <w:sz w:val="20"/>
                <w:szCs w:val="20"/>
              </w:rPr>
              <w:t xml:space="preserve"> para tal fin. </w:t>
            </w:r>
          </w:p>
          <w:p w14:paraId="4C811D45" w14:textId="672BB1E6" w:rsidR="0093582A" w:rsidRDefault="00E44785" w:rsidP="0093582A">
            <w:pPr>
              <w:spacing w:before="80" w:after="80"/>
              <w:jc w:val="both"/>
              <w:rPr>
                <w:rFonts w:ascii="Arial Narrow" w:hAnsi="Arial Narrow" w:cs="Arial"/>
                <w:b/>
                <w:bCs/>
                <w:sz w:val="20"/>
                <w:szCs w:val="20"/>
              </w:rPr>
            </w:pPr>
            <w:r w:rsidRPr="002A2754">
              <w:rPr>
                <w:rFonts w:ascii="Arial Narrow" w:hAnsi="Arial Narrow" w:cs="Arial"/>
                <w:b/>
                <w:bCs/>
                <w:sz w:val="20"/>
                <w:szCs w:val="20"/>
              </w:rPr>
              <w:t>Nota 1:</w:t>
            </w:r>
            <w:r w:rsidRPr="002A2754">
              <w:rPr>
                <w:rFonts w:ascii="Arial Narrow" w:hAnsi="Arial Narrow" w:cs="Arial"/>
                <w:sz w:val="20"/>
                <w:szCs w:val="20"/>
              </w:rPr>
              <w:t xml:space="preserve"> </w:t>
            </w:r>
            <w:r w:rsidR="001966E6">
              <w:rPr>
                <w:rFonts w:ascii="Arial Narrow" w:hAnsi="Arial Narrow" w:cs="Arial"/>
                <w:sz w:val="20"/>
                <w:szCs w:val="20"/>
              </w:rPr>
              <w:t>e</w:t>
            </w:r>
            <w:r w:rsidRPr="002A2754">
              <w:rPr>
                <w:rFonts w:ascii="Arial Narrow" w:hAnsi="Arial Narrow" w:cs="Arial"/>
                <w:sz w:val="20"/>
                <w:szCs w:val="20"/>
              </w:rPr>
              <w:t xml:space="preserve">l proceso se realiza conforme a la circular de </w:t>
            </w:r>
            <w:r w:rsidR="00194CE5" w:rsidRPr="002A2754">
              <w:rPr>
                <w:rFonts w:ascii="Arial Narrow" w:hAnsi="Arial Narrow" w:cs="Arial"/>
                <w:sz w:val="20"/>
                <w:szCs w:val="20"/>
              </w:rPr>
              <w:t>cuantías</w:t>
            </w:r>
            <w:r w:rsidRPr="002A2754">
              <w:rPr>
                <w:rFonts w:ascii="Arial Narrow" w:hAnsi="Arial Narrow" w:cs="Arial"/>
                <w:sz w:val="20"/>
                <w:szCs w:val="20"/>
              </w:rPr>
              <w:t xml:space="preserve"> establecida para cada vigencia fiscal. </w:t>
            </w:r>
            <w:r w:rsidRPr="002A2754">
              <w:rPr>
                <w:rFonts w:ascii="Arial Narrow" w:hAnsi="Arial Narrow" w:cs="Arial"/>
                <w:b/>
                <w:bCs/>
                <w:sz w:val="20"/>
                <w:szCs w:val="20"/>
              </w:rPr>
              <w:t xml:space="preserve"> </w:t>
            </w:r>
          </w:p>
          <w:p w14:paraId="3DC6B97D" w14:textId="1254AE6E" w:rsidR="00E44785" w:rsidRPr="002A2754" w:rsidRDefault="00E44785" w:rsidP="001966E6">
            <w:pPr>
              <w:spacing w:before="80" w:after="80"/>
              <w:jc w:val="both"/>
              <w:rPr>
                <w:rFonts w:ascii="Arial Narrow" w:hAnsi="Arial Narrow" w:cs="Arial"/>
                <w:sz w:val="20"/>
                <w:szCs w:val="20"/>
              </w:rPr>
            </w:pPr>
            <w:r w:rsidRPr="002A2754">
              <w:rPr>
                <w:rFonts w:ascii="Arial Narrow" w:hAnsi="Arial Narrow" w:cs="Arial"/>
                <w:b/>
                <w:bCs/>
                <w:sz w:val="20"/>
                <w:szCs w:val="20"/>
              </w:rPr>
              <w:t>Nota 2:</w:t>
            </w:r>
            <w:r w:rsidRPr="002A2754">
              <w:rPr>
                <w:rFonts w:ascii="Arial Narrow" w:hAnsi="Arial Narrow" w:cs="Arial"/>
                <w:sz w:val="20"/>
                <w:szCs w:val="20"/>
              </w:rPr>
              <w:t xml:space="preserve"> </w:t>
            </w:r>
            <w:r w:rsidR="001966E6">
              <w:rPr>
                <w:rFonts w:ascii="Arial Narrow" w:hAnsi="Arial Narrow" w:cs="Arial"/>
                <w:sz w:val="20"/>
                <w:szCs w:val="20"/>
              </w:rPr>
              <w:t>v</w:t>
            </w:r>
            <w:r w:rsidRPr="002A2754">
              <w:rPr>
                <w:rFonts w:ascii="Arial Narrow" w:hAnsi="Arial Narrow" w:cs="Arial"/>
                <w:sz w:val="20"/>
                <w:szCs w:val="20"/>
              </w:rPr>
              <w:t xml:space="preserve">erificar que haya sido aprobado por el </w:t>
            </w:r>
            <w:r w:rsidR="00194CE5" w:rsidRPr="002A2754">
              <w:rPr>
                <w:rFonts w:ascii="Arial Narrow" w:hAnsi="Arial Narrow" w:cs="Arial"/>
                <w:sz w:val="20"/>
                <w:szCs w:val="20"/>
              </w:rPr>
              <w:t>comité</w:t>
            </w:r>
            <w:r w:rsidRPr="002A2754">
              <w:rPr>
                <w:rFonts w:ascii="Arial Narrow" w:hAnsi="Arial Narrow" w:cs="Arial"/>
                <w:sz w:val="20"/>
                <w:szCs w:val="20"/>
              </w:rPr>
              <w:t xml:space="preserve"> de contratación cuando hubiere lugar.</w:t>
            </w:r>
          </w:p>
        </w:tc>
        <w:tc>
          <w:tcPr>
            <w:tcW w:w="1640" w:type="dxa"/>
            <w:tcBorders>
              <w:top w:val="nil"/>
              <w:left w:val="nil"/>
              <w:bottom w:val="single" w:sz="4" w:space="0" w:color="auto"/>
              <w:right w:val="single" w:sz="4" w:space="0" w:color="auto"/>
            </w:tcBorders>
            <w:shd w:val="clear" w:color="000000" w:fill="FFFFFF"/>
            <w:vAlign w:val="center"/>
            <w:hideMark/>
          </w:tcPr>
          <w:p w14:paraId="70B42AE9" w14:textId="77777777" w:rsidR="008F6CD3"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Unidad Ejecutora.</w:t>
            </w:r>
          </w:p>
          <w:p w14:paraId="0BC6D2A5" w14:textId="3D0B2C6D"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 xml:space="preserve">Nivel Territorial: Dirección Territorial o </w:t>
            </w:r>
            <w:r w:rsidR="00194CE5" w:rsidRPr="002A2754">
              <w:rPr>
                <w:rFonts w:ascii="Arial Narrow" w:hAnsi="Arial Narrow" w:cs="Arial"/>
                <w:sz w:val="20"/>
                <w:szCs w:val="20"/>
              </w:rPr>
              <w:t>área</w:t>
            </w:r>
            <w:r w:rsidRPr="002A2754">
              <w:rPr>
                <w:rFonts w:ascii="Arial Narrow" w:hAnsi="Arial Narrow" w:cs="Arial"/>
                <w:sz w:val="20"/>
                <w:szCs w:val="20"/>
              </w:rPr>
              <w:t xml:space="preserve"> protegida.</w:t>
            </w:r>
          </w:p>
        </w:tc>
        <w:tc>
          <w:tcPr>
            <w:tcW w:w="1501" w:type="dxa"/>
            <w:tcBorders>
              <w:top w:val="nil"/>
              <w:left w:val="nil"/>
              <w:bottom w:val="single" w:sz="4" w:space="0" w:color="auto"/>
              <w:right w:val="single" w:sz="4" w:space="0" w:color="auto"/>
            </w:tcBorders>
            <w:shd w:val="clear" w:color="auto" w:fill="auto"/>
            <w:vAlign w:val="center"/>
            <w:hideMark/>
          </w:tcPr>
          <w:p w14:paraId="658BBC6F" w14:textId="3962044B"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CE443F">
              <w:rPr>
                <w:rFonts w:ascii="Arial Narrow" w:hAnsi="Arial Narrow" w:cs="Arial"/>
                <w:sz w:val="20"/>
                <w:szCs w:val="20"/>
              </w:rPr>
              <w:t>C</w:t>
            </w:r>
            <w:r>
              <w:rPr>
                <w:rFonts w:ascii="Arial Narrow" w:hAnsi="Arial Narrow" w:cs="Arial"/>
                <w:sz w:val="20"/>
                <w:szCs w:val="20"/>
              </w:rPr>
              <w:t xml:space="preserve">ontratación y Guía </w:t>
            </w:r>
            <w:r w:rsidR="00CE443F">
              <w:rPr>
                <w:rFonts w:ascii="Arial Narrow" w:hAnsi="Arial Narrow" w:cs="Arial"/>
                <w:sz w:val="20"/>
                <w:szCs w:val="20"/>
              </w:rPr>
              <w:t>S</w:t>
            </w:r>
            <w:r>
              <w:rPr>
                <w:rFonts w:ascii="Arial Narrow" w:hAnsi="Arial Narrow" w:cs="Arial"/>
                <w:sz w:val="20"/>
                <w:szCs w:val="20"/>
              </w:rPr>
              <w:t>upervisión</w:t>
            </w:r>
            <w:r w:rsidR="00CE443F">
              <w:rPr>
                <w:rFonts w:ascii="Arial Narrow" w:hAnsi="Arial Narrow" w:cs="Arial"/>
                <w:sz w:val="20"/>
                <w:szCs w:val="20"/>
              </w:rPr>
              <w:t xml:space="preserve"> e </w:t>
            </w:r>
            <w:r w:rsidR="00985C51">
              <w:rPr>
                <w:rFonts w:ascii="Arial Narrow" w:hAnsi="Arial Narrow" w:cs="Arial"/>
                <w:sz w:val="20"/>
                <w:szCs w:val="20"/>
              </w:rPr>
              <w:t>Interventoría</w:t>
            </w:r>
            <w:r w:rsidR="003E569C">
              <w:rPr>
                <w:rFonts w:ascii="Arial Narrow" w:hAnsi="Arial Narrow" w:cs="Arial"/>
                <w:sz w:val="20"/>
                <w:szCs w:val="20"/>
              </w:rPr>
              <w:t>.</w:t>
            </w:r>
          </w:p>
        </w:tc>
        <w:tc>
          <w:tcPr>
            <w:tcW w:w="2410" w:type="dxa"/>
            <w:tcBorders>
              <w:top w:val="nil"/>
              <w:left w:val="nil"/>
              <w:bottom w:val="single" w:sz="4" w:space="0" w:color="auto"/>
              <w:right w:val="single" w:sz="4" w:space="0" w:color="auto"/>
            </w:tcBorders>
            <w:shd w:val="clear" w:color="000000" w:fill="FFFFFF"/>
            <w:vAlign w:val="center"/>
            <w:hideMark/>
          </w:tcPr>
          <w:p w14:paraId="3CC8ECE1" w14:textId="460EC391" w:rsidR="00E44785" w:rsidRPr="002A2754" w:rsidRDefault="0088645B" w:rsidP="0093582A">
            <w:pPr>
              <w:spacing w:before="80" w:after="80"/>
              <w:jc w:val="both"/>
              <w:rPr>
                <w:rFonts w:ascii="Arial Narrow" w:hAnsi="Arial Narrow" w:cs="Arial"/>
                <w:sz w:val="20"/>
                <w:szCs w:val="20"/>
              </w:rPr>
            </w:pPr>
            <w:r>
              <w:rPr>
                <w:rFonts w:ascii="Arial Narrow" w:hAnsi="Arial Narrow" w:cs="Arial"/>
                <w:sz w:val="20"/>
                <w:szCs w:val="20"/>
              </w:rPr>
              <w:t>E</w:t>
            </w:r>
            <w:r w:rsidR="00E44785" w:rsidRPr="002A2754">
              <w:rPr>
                <w:rFonts w:ascii="Arial Narrow" w:hAnsi="Arial Narrow" w:cs="Arial"/>
                <w:sz w:val="20"/>
                <w:szCs w:val="20"/>
              </w:rPr>
              <w:t xml:space="preserve">studio previo suscrito por el subdirector, coordinador de grupo, jefe de oficina, director territorial o jefe del </w:t>
            </w:r>
            <w:r w:rsidR="00194CE5" w:rsidRPr="002A2754">
              <w:rPr>
                <w:rFonts w:ascii="Arial Narrow" w:hAnsi="Arial Narrow" w:cs="Arial"/>
                <w:sz w:val="20"/>
                <w:szCs w:val="20"/>
              </w:rPr>
              <w:t>área</w:t>
            </w:r>
            <w:r w:rsidR="00E44785" w:rsidRPr="002A2754">
              <w:rPr>
                <w:rFonts w:ascii="Arial Narrow" w:hAnsi="Arial Narrow" w:cs="Arial"/>
                <w:sz w:val="20"/>
                <w:szCs w:val="20"/>
              </w:rPr>
              <w:t xml:space="preserve"> protegida, según corresponda.</w:t>
            </w:r>
          </w:p>
        </w:tc>
      </w:tr>
      <w:tr w:rsidR="00E44785" w14:paraId="79108CB2" w14:textId="77777777" w:rsidTr="002879DC">
        <w:trPr>
          <w:trHeight w:val="567"/>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75D6647"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2</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252977C8" w14:textId="5BBCD32C"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 xml:space="preserve">Crear y </w:t>
            </w:r>
            <w:r w:rsidR="008F6CD3">
              <w:rPr>
                <w:rFonts w:ascii="Arial Narrow" w:hAnsi="Arial Narrow" w:cs="Arial"/>
                <w:sz w:val="20"/>
                <w:szCs w:val="20"/>
              </w:rPr>
              <w:t>p</w:t>
            </w:r>
            <w:r w:rsidRPr="002A2754">
              <w:rPr>
                <w:rFonts w:ascii="Arial Narrow" w:hAnsi="Arial Narrow" w:cs="Arial"/>
                <w:sz w:val="20"/>
                <w:szCs w:val="20"/>
              </w:rPr>
              <w:t xml:space="preserve">ublicar el proceso en la plataforma del SECOP II o herramienta que el Gobierno Nacional determine para el efecto (proyecto de pliego de condiciones, aviso de convocatoria, estudio previo, ficha técnica y </w:t>
            </w:r>
            <w:r w:rsidR="008F6CD3" w:rsidRPr="002A2754">
              <w:rPr>
                <w:rFonts w:ascii="Arial Narrow" w:hAnsi="Arial Narrow" w:cs="Arial"/>
                <w:sz w:val="20"/>
                <w:szCs w:val="20"/>
              </w:rPr>
              <w:t>demás</w:t>
            </w:r>
            <w:r w:rsidRPr="002A2754">
              <w:rPr>
                <w:rFonts w:ascii="Arial Narrow" w:hAnsi="Arial Narrow" w:cs="Arial"/>
                <w:sz w:val="20"/>
                <w:szCs w:val="20"/>
              </w:rPr>
              <w:t xml:space="preserve"> documentos anexos),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6E0B11CD" w14:textId="77777777" w:rsidR="008F6CD3"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Unidad Ejecutora.</w:t>
            </w:r>
          </w:p>
          <w:p w14:paraId="42E4F0CA" w14:textId="6514E7BC"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63F6485D" w14:textId="531AD5C0"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Manual de contratación</w:t>
            </w:r>
          </w:p>
        </w:tc>
        <w:tc>
          <w:tcPr>
            <w:tcW w:w="2410" w:type="dxa"/>
            <w:tcBorders>
              <w:top w:val="nil"/>
              <w:left w:val="nil"/>
              <w:bottom w:val="single" w:sz="4" w:space="0" w:color="auto"/>
              <w:right w:val="single" w:sz="4" w:space="0" w:color="auto"/>
            </w:tcBorders>
            <w:shd w:val="clear" w:color="000000" w:fill="FFFFFF"/>
            <w:vAlign w:val="center"/>
            <w:hideMark/>
          </w:tcPr>
          <w:p w14:paraId="7A430B2C" w14:textId="472A0231" w:rsidR="00E44785" w:rsidRPr="002A2754" w:rsidRDefault="0088645B" w:rsidP="0093582A">
            <w:pPr>
              <w:spacing w:before="80" w:after="80"/>
              <w:jc w:val="both"/>
              <w:rPr>
                <w:rFonts w:ascii="Arial Narrow" w:hAnsi="Arial Narrow" w:cs="Arial"/>
                <w:sz w:val="20"/>
                <w:szCs w:val="20"/>
              </w:rPr>
            </w:pPr>
            <w:r>
              <w:rPr>
                <w:rFonts w:ascii="Arial Narrow" w:hAnsi="Arial Narrow" w:cs="Arial"/>
                <w:sz w:val="20"/>
                <w:szCs w:val="20"/>
              </w:rPr>
              <w:t>A</w:t>
            </w:r>
            <w:r w:rsidR="00E44785" w:rsidRPr="002A2754">
              <w:rPr>
                <w:rFonts w:ascii="Arial Narrow" w:hAnsi="Arial Narrow" w:cs="Arial"/>
                <w:sz w:val="20"/>
                <w:szCs w:val="20"/>
              </w:rPr>
              <w:t xml:space="preserve">viso suscrito por el ordenador del </w:t>
            </w:r>
            <w:proofErr w:type="gramStart"/>
            <w:r w:rsidR="00E44785" w:rsidRPr="002A2754">
              <w:rPr>
                <w:rFonts w:ascii="Arial Narrow" w:hAnsi="Arial Narrow" w:cs="Arial"/>
                <w:sz w:val="20"/>
                <w:szCs w:val="20"/>
              </w:rPr>
              <w:t xml:space="preserve">gasto </w:t>
            </w:r>
            <w:r>
              <w:rPr>
                <w:rFonts w:ascii="Arial Narrow" w:hAnsi="Arial Narrow" w:cs="Arial"/>
                <w:sz w:val="20"/>
                <w:szCs w:val="20"/>
              </w:rPr>
              <w:t xml:space="preserve"> y</w:t>
            </w:r>
            <w:proofErr w:type="gramEnd"/>
            <w:r>
              <w:rPr>
                <w:rFonts w:ascii="Arial Narrow" w:hAnsi="Arial Narrow" w:cs="Arial"/>
                <w:sz w:val="20"/>
                <w:szCs w:val="20"/>
              </w:rPr>
              <w:t xml:space="preserve"> pliego</w:t>
            </w:r>
            <w:r w:rsidR="008F6CD3">
              <w:rPr>
                <w:rFonts w:ascii="Arial Narrow" w:hAnsi="Arial Narrow" w:cs="Arial"/>
                <w:sz w:val="20"/>
                <w:szCs w:val="20"/>
              </w:rPr>
              <w:t>,</w:t>
            </w:r>
            <w:r w:rsidR="00E44785" w:rsidRPr="002A2754">
              <w:rPr>
                <w:rFonts w:ascii="Arial Narrow" w:hAnsi="Arial Narrow" w:cs="Arial"/>
                <w:sz w:val="20"/>
                <w:szCs w:val="20"/>
              </w:rPr>
              <w:t xml:space="preserve"> publicados en el Portal Único de Contratación (SECOP) y elaborado de acuerdo a la información del estudio previo.</w:t>
            </w:r>
          </w:p>
        </w:tc>
      </w:tr>
      <w:tr w:rsidR="00E44785" w14:paraId="44E6D096" w14:textId="77777777" w:rsidTr="002879DC">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AF2704B"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lastRenderedPageBreak/>
              <w:t>3</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11CAA8D1" w14:textId="77777777"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 xml:space="preserve">Elaborar y publicar en la </w:t>
            </w:r>
            <w:proofErr w:type="gramStart"/>
            <w:r w:rsidRPr="002A2754">
              <w:rPr>
                <w:rFonts w:ascii="Arial Narrow" w:hAnsi="Arial Narrow" w:cs="Arial"/>
                <w:sz w:val="20"/>
                <w:szCs w:val="20"/>
              </w:rPr>
              <w:t>plataforma  del</w:t>
            </w:r>
            <w:proofErr w:type="gramEnd"/>
            <w:r w:rsidRPr="002A2754">
              <w:rPr>
                <w:rFonts w:ascii="Arial Narrow" w:hAnsi="Arial Narrow" w:cs="Arial"/>
                <w:sz w:val="20"/>
                <w:szCs w:val="20"/>
              </w:rPr>
              <w:t xml:space="preserve"> SECOP II o herramienta que el Gobierno Nacional determine para el efecto, las respuestas a las observaciones presentadas al proyecto de pliego de condiciones, cuando a ello hubiera lugar,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7CF5C87A" w14:textId="77777777" w:rsidR="008F6CD3"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26BB1CEA" w14:textId="3272E632"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7350FF51" w14:textId="684A23C4"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 xml:space="preserve">ontratación </w:t>
            </w:r>
          </w:p>
        </w:tc>
        <w:tc>
          <w:tcPr>
            <w:tcW w:w="2410" w:type="dxa"/>
            <w:tcBorders>
              <w:top w:val="nil"/>
              <w:left w:val="nil"/>
              <w:bottom w:val="single" w:sz="4" w:space="0" w:color="auto"/>
              <w:right w:val="single" w:sz="4" w:space="0" w:color="auto"/>
            </w:tcBorders>
            <w:shd w:val="clear" w:color="000000" w:fill="FFFFFF"/>
            <w:vAlign w:val="center"/>
            <w:hideMark/>
          </w:tcPr>
          <w:p w14:paraId="055FBD1E" w14:textId="22DEF520" w:rsidR="00E44785" w:rsidRPr="002A2754" w:rsidRDefault="00B861D2" w:rsidP="0093582A">
            <w:pPr>
              <w:spacing w:before="80" w:after="80"/>
              <w:jc w:val="both"/>
              <w:rPr>
                <w:rFonts w:ascii="Arial Narrow" w:hAnsi="Arial Narrow" w:cs="Arial"/>
                <w:sz w:val="20"/>
                <w:szCs w:val="20"/>
              </w:rPr>
            </w:pPr>
            <w:r w:rsidRPr="002A2754">
              <w:rPr>
                <w:rFonts w:ascii="Arial Narrow" w:hAnsi="Arial Narrow" w:cs="Arial"/>
                <w:sz w:val="20"/>
                <w:szCs w:val="20"/>
              </w:rPr>
              <w:t>P</w:t>
            </w:r>
            <w:r w:rsidR="00C8355B">
              <w:rPr>
                <w:rFonts w:ascii="Arial Narrow" w:hAnsi="Arial Narrow" w:cs="Arial"/>
                <w:sz w:val="20"/>
                <w:szCs w:val="20"/>
              </w:rPr>
              <w:t>ublicación de las respuesta</w:t>
            </w:r>
            <w:r w:rsidR="003E569C">
              <w:rPr>
                <w:rFonts w:ascii="Arial Narrow" w:hAnsi="Arial Narrow" w:cs="Arial"/>
                <w:sz w:val="20"/>
                <w:szCs w:val="20"/>
              </w:rPr>
              <w:t>s</w:t>
            </w:r>
            <w:r w:rsidR="00C8355B">
              <w:rPr>
                <w:rFonts w:ascii="Arial Narrow" w:hAnsi="Arial Narrow" w:cs="Arial"/>
                <w:sz w:val="20"/>
                <w:szCs w:val="20"/>
              </w:rPr>
              <w:t xml:space="preserve"> a las observaciones en el p</w:t>
            </w:r>
            <w:r w:rsidRPr="002A2754">
              <w:rPr>
                <w:rFonts w:ascii="Arial Narrow" w:hAnsi="Arial Narrow" w:cs="Arial"/>
                <w:sz w:val="20"/>
                <w:szCs w:val="20"/>
              </w:rPr>
              <w:t>ortal Único de Contratación (SECOP)</w:t>
            </w:r>
          </w:p>
        </w:tc>
      </w:tr>
      <w:tr w:rsidR="00E44785" w14:paraId="3C76BC69" w14:textId="77777777" w:rsidTr="002879DC">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407F166"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4</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3FC488DB" w14:textId="77777777"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 xml:space="preserve">Elaborar y </w:t>
            </w:r>
            <w:proofErr w:type="gramStart"/>
            <w:r w:rsidRPr="002A2754">
              <w:rPr>
                <w:rFonts w:ascii="Arial Narrow" w:hAnsi="Arial Narrow" w:cs="Arial"/>
                <w:sz w:val="20"/>
                <w:szCs w:val="20"/>
              </w:rPr>
              <w:t>publicar  en</w:t>
            </w:r>
            <w:proofErr w:type="gramEnd"/>
            <w:r w:rsidRPr="002A2754">
              <w:rPr>
                <w:rFonts w:ascii="Arial Narrow" w:hAnsi="Arial Narrow" w:cs="Arial"/>
                <w:sz w:val="20"/>
                <w:szCs w:val="20"/>
              </w:rPr>
              <w:t xml:space="preserve"> la plataforma SECOP II o herramienta que el Gobierno Nacional determine para el efecto, el acto administrativo de Apertura y pliego de condiciones del proceso, de conformidad con la ley, reglamento y/o lineamientos dados por Colombia Compra Eficiente y aquellos que expida la entidad. Así mismo, verificar si procede la limitación a Mipyme de acuerdo a lo indicado por la Ley o reglamento.</w:t>
            </w:r>
          </w:p>
        </w:tc>
        <w:tc>
          <w:tcPr>
            <w:tcW w:w="1640" w:type="dxa"/>
            <w:tcBorders>
              <w:top w:val="nil"/>
              <w:left w:val="nil"/>
              <w:bottom w:val="single" w:sz="4" w:space="0" w:color="auto"/>
              <w:right w:val="single" w:sz="4" w:space="0" w:color="auto"/>
            </w:tcBorders>
            <w:shd w:val="clear" w:color="000000" w:fill="FFFFFF"/>
            <w:vAlign w:val="center"/>
            <w:hideMark/>
          </w:tcPr>
          <w:p w14:paraId="4C92BE5F" w14:textId="77777777" w:rsidR="008F6CD3"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71C3193D" w14:textId="555F8589"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64AC37A3" w14:textId="193570D2"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w:t>
            </w:r>
          </w:p>
        </w:tc>
        <w:tc>
          <w:tcPr>
            <w:tcW w:w="2410" w:type="dxa"/>
            <w:tcBorders>
              <w:top w:val="nil"/>
              <w:left w:val="nil"/>
              <w:bottom w:val="single" w:sz="4" w:space="0" w:color="auto"/>
              <w:right w:val="single" w:sz="4" w:space="0" w:color="auto"/>
            </w:tcBorders>
            <w:shd w:val="clear" w:color="000000" w:fill="FFFFFF"/>
            <w:vAlign w:val="center"/>
            <w:hideMark/>
          </w:tcPr>
          <w:p w14:paraId="3DDF596F" w14:textId="3A44A45A"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A</w:t>
            </w:r>
            <w:r w:rsidR="00E44785" w:rsidRPr="002A2754">
              <w:rPr>
                <w:rFonts w:ascii="Arial Narrow" w:hAnsi="Arial Narrow" w:cs="Arial"/>
                <w:sz w:val="20"/>
                <w:szCs w:val="20"/>
              </w:rPr>
              <w:t>cto administrativo de apertura suscrito por el ordenador del gasto y su correspondiente publicación en el SECOP.</w:t>
            </w:r>
          </w:p>
        </w:tc>
      </w:tr>
      <w:tr w:rsidR="00E44785" w14:paraId="12BDAA91" w14:textId="77777777" w:rsidTr="00C8355B">
        <w:trPr>
          <w:trHeight w:val="181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226CDC1"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5</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15B03524" w14:textId="244A8691"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Elaborar y publicar en la plataforma SECOP II o herramienta que el Gobierno Nacional determine para el efecto, respuesta a las observaciones al pliego de condiciones, cuando a ello hubiera lugar, conforme al cronograma respectivo.</w:t>
            </w:r>
          </w:p>
        </w:tc>
        <w:tc>
          <w:tcPr>
            <w:tcW w:w="1640" w:type="dxa"/>
            <w:tcBorders>
              <w:top w:val="nil"/>
              <w:left w:val="nil"/>
              <w:bottom w:val="single" w:sz="4" w:space="0" w:color="auto"/>
              <w:right w:val="single" w:sz="4" w:space="0" w:color="auto"/>
            </w:tcBorders>
            <w:shd w:val="clear" w:color="000000" w:fill="FFFFFF"/>
            <w:vAlign w:val="center"/>
            <w:hideMark/>
          </w:tcPr>
          <w:p w14:paraId="3F69BBFB" w14:textId="77777777" w:rsidR="008F6CD3"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23F35942" w14:textId="3B79817F"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49B3EEC6" w14:textId="05FBC353"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w:t>
            </w:r>
          </w:p>
        </w:tc>
        <w:tc>
          <w:tcPr>
            <w:tcW w:w="2410" w:type="dxa"/>
            <w:tcBorders>
              <w:top w:val="nil"/>
              <w:left w:val="nil"/>
              <w:bottom w:val="single" w:sz="4" w:space="0" w:color="auto"/>
              <w:right w:val="single" w:sz="4" w:space="0" w:color="auto"/>
            </w:tcBorders>
            <w:shd w:val="clear" w:color="000000" w:fill="FFFFFF"/>
            <w:vAlign w:val="center"/>
            <w:hideMark/>
          </w:tcPr>
          <w:p w14:paraId="16DC0BCE" w14:textId="23D16E11" w:rsidR="00E44785" w:rsidRPr="002A2754" w:rsidRDefault="00B861D2" w:rsidP="0093582A">
            <w:pPr>
              <w:spacing w:before="80" w:after="80"/>
              <w:jc w:val="both"/>
              <w:rPr>
                <w:rFonts w:ascii="Arial Narrow" w:hAnsi="Arial Narrow" w:cs="Arial"/>
                <w:sz w:val="20"/>
                <w:szCs w:val="20"/>
              </w:rPr>
            </w:pPr>
            <w:r w:rsidRPr="002A2754">
              <w:rPr>
                <w:rFonts w:ascii="Arial Narrow" w:hAnsi="Arial Narrow" w:cs="Arial"/>
                <w:sz w:val="20"/>
                <w:szCs w:val="20"/>
              </w:rPr>
              <w:t>P</w:t>
            </w:r>
            <w:r w:rsidR="00C8355B">
              <w:rPr>
                <w:rFonts w:ascii="Arial Narrow" w:hAnsi="Arial Narrow" w:cs="Arial"/>
                <w:sz w:val="20"/>
                <w:szCs w:val="20"/>
              </w:rPr>
              <w:t>ublicación de las respuestas a las observaciones del pliego de condiciones en e el p</w:t>
            </w:r>
            <w:r w:rsidRPr="002A2754">
              <w:rPr>
                <w:rFonts w:ascii="Arial Narrow" w:hAnsi="Arial Narrow" w:cs="Arial"/>
                <w:sz w:val="20"/>
                <w:szCs w:val="20"/>
              </w:rPr>
              <w:t>ortal Único de Contratación (SECOP)</w:t>
            </w:r>
            <w:r w:rsidR="00C8355B">
              <w:rPr>
                <w:rFonts w:ascii="Arial Narrow" w:hAnsi="Arial Narrow" w:cs="Arial"/>
                <w:sz w:val="20"/>
                <w:szCs w:val="20"/>
              </w:rPr>
              <w:t xml:space="preserve">. </w:t>
            </w:r>
          </w:p>
        </w:tc>
      </w:tr>
      <w:tr w:rsidR="00E44785" w14:paraId="4B482D1C" w14:textId="77777777" w:rsidTr="00C8355B">
        <w:trPr>
          <w:trHeight w:val="204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11453028"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6</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265519D7" w14:textId="14BC5E3F"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Elaborar y publicar en la plataforma SECOP II o herramienta que el Gobierno Nacional determine para el efecto, adendas para aclarar, corregir o modificar el pliego de condiciones, cuando a ello hubiere lugar,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69F531CD" w14:textId="77777777" w:rsidR="008F6CD3"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29CD267F" w14:textId="5E792E61"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3E4AA45D" w14:textId="71EA9448" w:rsidR="00194CE5" w:rsidRPr="002A2754" w:rsidRDefault="003D6CB0" w:rsidP="008F6CD3">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w:t>
            </w:r>
          </w:p>
        </w:tc>
        <w:tc>
          <w:tcPr>
            <w:tcW w:w="2410" w:type="dxa"/>
            <w:tcBorders>
              <w:top w:val="nil"/>
              <w:left w:val="nil"/>
              <w:bottom w:val="single" w:sz="4" w:space="0" w:color="auto"/>
              <w:right w:val="single" w:sz="4" w:space="0" w:color="auto"/>
            </w:tcBorders>
            <w:shd w:val="clear" w:color="000000" w:fill="FFFFFF"/>
            <w:vAlign w:val="center"/>
            <w:hideMark/>
          </w:tcPr>
          <w:p w14:paraId="50904F89" w14:textId="34784756" w:rsidR="00E44785" w:rsidRPr="002A2754" w:rsidRDefault="00B861D2" w:rsidP="0093582A">
            <w:pPr>
              <w:spacing w:before="80" w:after="80"/>
              <w:jc w:val="both"/>
              <w:rPr>
                <w:rFonts w:ascii="Arial Narrow" w:hAnsi="Arial Narrow" w:cs="Arial"/>
                <w:sz w:val="20"/>
                <w:szCs w:val="20"/>
              </w:rPr>
            </w:pPr>
            <w:r w:rsidRPr="002A2754">
              <w:rPr>
                <w:rFonts w:ascii="Arial Narrow" w:hAnsi="Arial Narrow" w:cs="Arial"/>
                <w:sz w:val="20"/>
                <w:szCs w:val="20"/>
              </w:rPr>
              <w:t>P</w:t>
            </w:r>
            <w:r w:rsidR="00C8355B">
              <w:rPr>
                <w:rFonts w:ascii="Arial Narrow" w:hAnsi="Arial Narrow" w:cs="Arial"/>
                <w:sz w:val="20"/>
                <w:szCs w:val="20"/>
              </w:rPr>
              <w:t>ublicar las modificaciones o aclaraciones u otro en el p</w:t>
            </w:r>
            <w:r w:rsidRPr="002A2754">
              <w:rPr>
                <w:rFonts w:ascii="Arial Narrow" w:hAnsi="Arial Narrow" w:cs="Arial"/>
                <w:sz w:val="20"/>
                <w:szCs w:val="20"/>
              </w:rPr>
              <w:t>ortal Único de Contratación (SECOP)</w:t>
            </w:r>
            <w:r w:rsidR="00C8355B">
              <w:rPr>
                <w:rFonts w:ascii="Arial Narrow" w:hAnsi="Arial Narrow" w:cs="Arial"/>
                <w:sz w:val="20"/>
                <w:szCs w:val="20"/>
              </w:rPr>
              <w:t xml:space="preserve"> según aplique. </w:t>
            </w:r>
          </w:p>
        </w:tc>
      </w:tr>
      <w:tr w:rsidR="00E44785" w14:paraId="416FA7E1" w14:textId="77777777" w:rsidTr="002879DC">
        <w:trPr>
          <w:trHeight w:val="209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AF76C0E"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7</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70F9299A" w14:textId="77777777" w:rsidR="00E44785" w:rsidRPr="00EC18C5" w:rsidRDefault="00E44785" w:rsidP="0093582A">
            <w:pPr>
              <w:spacing w:before="80" w:after="80"/>
              <w:jc w:val="both"/>
              <w:rPr>
                <w:rFonts w:ascii="Arial Narrow" w:hAnsi="Arial Narrow" w:cs="Arial"/>
                <w:sz w:val="20"/>
                <w:szCs w:val="20"/>
              </w:rPr>
            </w:pPr>
            <w:proofErr w:type="spellStart"/>
            <w:r w:rsidRPr="00EC18C5">
              <w:rPr>
                <w:rFonts w:ascii="Arial Narrow" w:hAnsi="Arial Narrow" w:cs="Arial"/>
                <w:sz w:val="20"/>
                <w:szCs w:val="20"/>
              </w:rPr>
              <w:t>Recepcionar</w:t>
            </w:r>
            <w:proofErr w:type="spellEnd"/>
            <w:r w:rsidRPr="00EC18C5">
              <w:rPr>
                <w:rFonts w:ascii="Arial Narrow" w:hAnsi="Arial Narrow" w:cs="Arial"/>
                <w:sz w:val="20"/>
                <w:szCs w:val="20"/>
              </w:rPr>
              <w:t xml:space="preserve"> las ofertas, generar y publicar el cierre del proceso en la plataforma del SECOP II o herramienta que el Gobierno Nacional determine para el efecto, de conformidad con el Cronograma establecido,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449C7847"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21BDF4F4" w14:textId="6942D96F"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0F6AFFCC" w14:textId="56B3F05B"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w:t>
            </w:r>
            <w:r w:rsidR="003E569C">
              <w:rPr>
                <w:rFonts w:ascii="Arial Narrow" w:hAnsi="Arial Narrow" w:cs="Arial"/>
                <w:sz w:val="20"/>
                <w:szCs w:val="20"/>
              </w:rPr>
              <w:t>n</w:t>
            </w:r>
            <w:r w:rsidR="00194CE5" w:rsidRPr="002A2754">
              <w:rPr>
                <w:rFonts w:ascii="Arial Narrow" w:hAnsi="Arial Narrow" w:cs="Arial"/>
                <w:sz w:val="20"/>
                <w:szCs w:val="20"/>
              </w:rPr>
              <w:t>.</w:t>
            </w:r>
          </w:p>
        </w:tc>
        <w:tc>
          <w:tcPr>
            <w:tcW w:w="2410" w:type="dxa"/>
            <w:tcBorders>
              <w:top w:val="nil"/>
              <w:left w:val="nil"/>
              <w:bottom w:val="single" w:sz="4" w:space="0" w:color="auto"/>
              <w:right w:val="single" w:sz="4" w:space="0" w:color="auto"/>
            </w:tcBorders>
            <w:shd w:val="clear" w:color="000000" w:fill="FFFFFF"/>
            <w:vAlign w:val="center"/>
            <w:hideMark/>
          </w:tcPr>
          <w:p w14:paraId="16E3EFB5" w14:textId="05557AD3"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 xml:space="preserve">Publicación y cierre en el </w:t>
            </w:r>
            <w:r w:rsidRPr="002A2754">
              <w:rPr>
                <w:rFonts w:ascii="Arial Narrow" w:hAnsi="Arial Narrow" w:cs="Arial"/>
                <w:sz w:val="20"/>
                <w:szCs w:val="20"/>
              </w:rPr>
              <w:t>Portal Único de Contratación (SECOP)</w:t>
            </w:r>
            <w:r w:rsidR="00E44785" w:rsidRPr="002A2754">
              <w:rPr>
                <w:rFonts w:ascii="Arial Narrow" w:hAnsi="Arial Narrow" w:cs="Arial"/>
                <w:sz w:val="20"/>
                <w:szCs w:val="20"/>
              </w:rPr>
              <w:t>.</w:t>
            </w:r>
          </w:p>
        </w:tc>
      </w:tr>
      <w:tr w:rsidR="00E44785" w14:paraId="3E8607AF" w14:textId="77777777" w:rsidTr="002879DC">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3883442"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lastRenderedPageBreak/>
              <w:t>8</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4B49B9CB" w14:textId="55B47EB0" w:rsidR="00E44785" w:rsidRPr="002A2754" w:rsidRDefault="00E44785" w:rsidP="001966E6">
            <w:pPr>
              <w:spacing w:before="80" w:after="80"/>
              <w:jc w:val="both"/>
              <w:rPr>
                <w:rFonts w:ascii="Arial Narrow" w:hAnsi="Arial Narrow" w:cs="Arial"/>
                <w:sz w:val="20"/>
                <w:szCs w:val="20"/>
              </w:rPr>
            </w:pPr>
            <w:r w:rsidRPr="002A2754">
              <w:rPr>
                <w:rFonts w:ascii="Arial Narrow" w:hAnsi="Arial Narrow" w:cs="Arial"/>
                <w:sz w:val="20"/>
                <w:szCs w:val="20"/>
              </w:rPr>
              <w:t xml:space="preserve">Revisar las ofertas, elaborar el informe de habilitación y publicar el mismo en la plataforma SECOP II o herramienta que el Gobierno Nacional determine para el </w:t>
            </w:r>
            <w:r w:rsidR="003E569C" w:rsidRPr="002A2754">
              <w:rPr>
                <w:rFonts w:ascii="Arial Narrow" w:hAnsi="Arial Narrow" w:cs="Arial"/>
                <w:sz w:val="20"/>
                <w:szCs w:val="20"/>
              </w:rPr>
              <w:t>efecto, para</w:t>
            </w:r>
            <w:r w:rsidRPr="002A2754">
              <w:rPr>
                <w:rFonts w:ascii="Arial Narrow" w:hAnsi="Arial Narrow" w:cs="Arial"/>
                <w:color w:val="000000"/>
                <w:sz w:val="20"/>
                <w:szCs w:val="20"/>
              </w:rPr>
              <w:t xml:space="preserve"> traslado y </w:t>
            </w:r>
            <w:r w:rsidR="003E569C">
              <w:rPr>
                <w:rFonts w:ascii="Arial Narrow" w:hAnsi="Arial Narrow" w:cs="Arial"/>
                <w:color w:val="000000"/>
                <w:sz w:val="20"/>
                <w:szCs w:val="20"/>
              </w:rPr>
              <w:t>p</w:t>
            </w:r>
            <w:r w:rsidRPr="002A2754">
              <w:rPr>
                <w:rFonts w:ascii="Arial Narrow" w:hAnsi="Arial Narrow" w:cs="Arial"/>
                <w:color w:val="000000"/>
                <w:sz w:val="20"/>
                <w:szCs w:val="20"/>
              </w:rPr>
              <w:t>resentación de observaciones</w:t>
            </w:r>
            <w:r w:rsidRPr="002A2754">
              <w:rPr>
                <w:rFonts w:ascii="Arial Narrow" w:hAnsi="Arial Narrow" w:cs="Arial"/>
                <w:color w:val="DD0806"/>
                <w:sz w:val="20"/>
                <w:szCs w:val="20"/>
              </w:rPr>
              <w:t xml:space="preserve"> </w:t>
            </w:r>
            <w:r w:rsidRPr="002A2754">
              <w:rPr>
                <w:rFonts w:ascii="Arial Narrow" w:hAnsi="Arial Narrow" w:cs="Arial"/>
                <w:sz w:val="20"/>
                <w:szCs w:val="20"/>
              </w:rPr>
              <w:t xml:space="preserve">de conformidad con el </w:t>
            </w:r>
            <w:r w:rsidR="001966E6">
              <w:rPr>
                <w:rFonts w:ascii="Arial Narrow" w:hAnsi="Arial Narrow" w:cs="Arial"/>
                <w:sz w:val="20"/>
                <w:szCs w:val="20"/>
              </w:rPr>
              <w:t>c</w:t>
            </w:r>
            <w:r w:rsidRPr="002A2754">
              <w:rPr>
                <w:rFonts w:ascii="Arial Narrow" w:hAnsi="Arial Narrow" w:cs="Arial"/>
                <w:sz w:val="20"/>
                <w:szCs w:val="20"/>
              </w:rPr>
              <w:t>ronograma establecido,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0C3B3201"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66697749" w14:textId="776C2E5A"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771223DA" w14:textId="6BD27A57" w:rsidR="00194CE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w:t>
            </w:r>
            <w:r>
              <w:rPr>
                <w:rFonts w:ascii="Arial Narrow" w:hAnsi="Arial Narrow" w:cs="Arial"/>
                <w:sz w:val="20"/>
                <w:szCs w:val="20"/>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14:paraId="0DF65776" w14:textId="5D6FAFB7"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P</w:t>
            </w:r>
            <w:r w:rsidR="00E44785" w:rsidRPr="002A2754">
              <w:rPr>
                <w:rFonts w:ascii="Arial Narrow" w:hAnsi="Arial Narrow" w:cs="Arial"/>
                <w:sz w:val="20"/>
                <w:szCs w:val="20"/>
              </w:rPr>
              <w:t>ublicación del informe de habilitación en el SECOP</w:t>
            </w:r>
          </w:p>
        </w:tc>
      </w:tr>
      <w:tr w:rsidR="00E44785" w14:paraId="3CAABB07" w14:textId="77777777" w:rsidTr="002879DC">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36E198CB"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9</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07AF83E2" w14:textId="22BE5E0D"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Elaborar y publicar en la plataforma del SECOP II o herramienta que el Gobierno Nacional determine para el efecto, las respuestas a las observaciones presentadas al informe de evaluación preliminar, cuando a ello hubiere lugar,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4CA2BC2E"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73632A4C" w14:textId="63FBC433"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3E5AA477" w14:textId="20054644"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14:paraId="366430A3" w14:textId="54D3F287"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 xml:space="preserve">Publicación en el </w:t>
            </w:r>
            <w:r w:rsidRPr="002A2754">
              <w:rPr>
                <w:rFonts w:ascii="Arial Narrow" w:hAnsi="Arial Narrow" w:cs="Arial"/>
                <w:sz w:val="20"/>
                <w:szCs w:val="20"/>
              </w:rPr>
              <w:t>Portal Único de Contratación (SECOP)</w:t>
            </w:r>
          </w:p>
        </w:tc>
      </w:tr>
      <w:tr w:rsidR="00E44785" w14:paraId="1164B148" w14:textId="77777777" w:rsidTr="002879DC">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CD5BEE6"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10</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2F098913" w14:textId="3ABDEFF6"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Convocar y desarrollar la reunión del comité evaluador y elaborar el acta respectiva, de conformidad con el cronograma establecido en el proceso.</w:t>
            </w:r>
          </w:p>
        </w:tc>
        <w:tc>
          <w:tcPr>
            <w:tcW w:w="1640" w:type="dxa"/>
            <w:tcBorders>
              <w:top w:val="nil"/>
              <w:left w:val="nil"/>
              <w:bottom w:val="single" w:sz="4" w:space="0" w:color="auto"/>
              <w:right w:val="single" w:sz="4" w:space="0" w:color="auto"/>
            </w:tcBorders>
            <w:shd w:val="clear" w:color="000000" w:fill="FFFFFF"/>
            <w:vAlign w:val="center"/>
            <w:hideMark/>
          </w:tcPr>
          <w:p w14:paraId="73DBD274"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 Grupo de Gestión Financiera y Unidad Ejecutora.</w:t>
            </w:r>
          </w:p>
          <w:p w14:paraId="1BDC59C6" w14:textId="14C565B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6F6CB96C" w14:textId="348F6275"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14:paraId="391262CA" w14:textId="054E86F6"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A</w:t>
            </w:r>
            <w:r w:rsidR="00E44785" w:rsidRPr="002A2754">
              <w:rPr>
                <w:rFonts w:ascii="Arial Narrow" w:hAnsi="Arial Narrow" w:cs="Arial"/>
                <w:sz w:val="20"/>
                <w:szCs w:val="20"/>
              </w:rPr>
              <w:t>cta de la reunión junto con el listado de asistencia firmado.</w:t>
            </w:r>
          </w:p>
        </w:tc>
      </w:tr>
      <w:tr w:rsidR="00E44785" w14:paraId="673806E6" w14:textId="77777777" w:rsidTr="00C8355B">
        <w:trPr>
          <w:trHeight w:val="19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EF1DF16"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11</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00083739" w14:textId="759E3576"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Llevar a cabo la subasta</w:t>
            </w:r>
            <w:r w:rsidR="00374CF0">
              <w:rPr>
                <w:rFonts w:ascii="Arial Narrow" w:hAnsi="Arial Narrow" w:cs="Arial"/>
                <w:sz w:val="20"/>
                <w:szCs w:val="20"/>
              </w:rPr>
              <w:t xml:space="preserve"> electrónica </w:t>
            </w:r>
            <w:r w:rsidR="00374CF0" w:rsidRPr="002A2754">
              <w:rPr>
                <w:rFonts w:ascii="Arial Narrow" w:hAnsi="Arial Narrow" w:cs="Arial"/>
                <w:sz w:val="20"/>
                <w:szCs w:val="20"/>
              </w:rPr>
              <w:t>(</w:t>
            </w:r>
            <w:r w:rsidRPr="002A2754">
              <w:rPr>
                <w:rFonts w:ascii="Arial Narrow" w:hAnsi="Arial Narrow" w:cs="Arial"/>
                <w:sz w:val="20"/>
                <w:szCs w:val="20"/>
              </w:rPr>
              <w:t>apertura sobre 2-economico) en la plataforma del SECOP II o herramienta que el Gobierno Nacional determine para el efecto,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555D918C"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563B2C38" w14:textId="71333AA4"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371C481F" w14:textId="4B3AE866"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 xml:space="preserve">ontratación.  </w:t>
            </w:r>
          </w:p>
        </w:tc>
        <w:tc>
          <w:tcPr>
            <w:tcW w:w="2410" w:type="dxa"/>
            <w:tcBorders>
              <w:top w:val="nil"/>
              <w:left w:val="nil"/>
              <w:bottom w:val="single" w:sz="4" w:space="0" w:color="auto"/>
              <w:right w:val="single" w:sz="4" w:space="0" w:color="auto"/>
            </w:tcBorders>
            <w:shd w:val="clear" w:color="000000" w:fill="FFFFFF"/>
            <w:vAlign w:val="center"/>
            <w:hideMark/>
          </w:tcPr>
          <w:p w14:paraId="5307A454" w14:textId="75B92F6A"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R</w:t>
            </w:r>
            <w:r w:rsidR="00E44785" w:rsidRPr="002A2754">
              <w:rPr>
                <w:rFonts w:ascii="Arial Narrow" w:hAnsi="Arial Narrow" w:cs="Arial"/>
                <w:sz w:val="20"/>
                <w:szCs w:val="20"/>
              </w:rPr>
              <w:t>eporte de publicación del acta de subasta en el SECOP</w:t>
            </w:r>
          </w:p>
        </w:tc>
      </w:tr>
      <w:tr w:rsidR="00E44785" w14:paraId="672A3A96" w14:textId="77777777" w:rsidTr="00C8355B">
        <w:trPr>
          <w:trHeight w:val="1757"/>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B6DA455"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12</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6846379A" w14:textId="3802A7D3"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Elaborar y publicar en la plataforma SECOP II o herramienta que el Gobierno Nacional determine para el efecto, el auto de adjudicación o de declaratoria de desierta según corresponda.</w:t>
            </w:r>
          </w:p>
        </w:tc>
        <w:tc>
          <w:tcPr>
            <w:tcW w:w="1640" w:type="dxa"/>
            <w:tcBorders>
              <w:top w:val="nil"/>
              <w:left w:val="nil"/>
              <w:bottom w:val="single" w:sz="4" w:space="0" w:color="auto"/>
              <w:right w:val="single" w:sz="4" w:space="0" w:color="auto"/>
            </w:tcBorders>
            <w:shd w:val="clear" w:color="000000" w:fill="FFFFFF"/>
            <w:vAlign w:val="center"/>
            <w:hideMark/>
          </w:tcPr>
          <w:p w14:paraId="22278BA7"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68D01058" w14:textId="49B7904C"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110FF469" w14:textId="5547CEE7"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ontratación</w:t>
            </w:r>
            <w:r w:rsidR="003E569C">
              <w:rPr>
                <w:rFonts w:ascii="Arial Narrow" w:hAnsi="Arial Narrow" w:cs="Arial"/>
                <w:sz w:val="20"/>
                <w:szCs w:val="20"/>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14:paraId="2C201DF6" w14:textId="4E04C400"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A</w:t>
            </w:r>
            <w:r w:rsidR="00E44785" w:rsidRPr="002A2754">
              <w:rPr>
                <w:rFonts w:ascii="Arial Narrow" w:hAnsi="Arial Narrow" w:cs="Arial"/>
                <w:sz w:val="20"/>
                <w:szCs w:val="20"/>
              </w:rPr>
              <w:t>cto administrativo de adjudicación o declaratoria desierta suscrito por el ordenador del gasto y su correspondiente publicación en el SECOP.</w:t>
            </w:r>
          </w:p>
        </w:tc>
      </w:tr>
      <w:tr w:rsidR="00E44785" w14:paraId="1B9311D7" w14:textId="77777777" w:rsidTr="00C8355B">
        <w:trPr>
          <w:trHeight w:val="1871"/>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A166CA0"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lastRenderedPageBreak/>
              <w:t>13</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295211B0" w14:textId="0436DB9F"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 xml:space="preserve">Crear y </w:t>
            </w:r>
            <w:r w:rsidR="00C8355B">
              <w:rPr>
                <w:rFonts w:ascii="Arial Narrow" w:hAnsi="Arial Narrow" w:cs="Arial"/>
                <w:sz w:val="20"/>
                <w:szCs w:val="20"/>
              </w:rPr>
              <w:t>p</w:t>
            </w:r>
            <w:r w:rsidRPr="002A2754">
              <w:rPr>
                <w:rFonts w:ascii="Arial Narrow" w:hAnsi="Arial Narrow" w:cs="Arial"/>
                <w:sz w:val="20"/>
                <w:szCs w:val="20"/>
              </w:rPr>
              <w:t xml:space="preserve">ublicar el </w:t>
            </w:r>
            <w:r w:rsidR="00C8355B">
              <w:rPr>
                <w:rFonts w:ascii="Arial Narrow" w:hAnsi="Arial Narrow" w:cs="Arial"/>
                <w:sz w:val="20"/>
                <w:szCs w:val="20"/>
              </w:rPr>
              <w:t>c</w:t>
            </w:r>
            <w:r w:rsidRPr="002A2754">
              <w:rPr>
                <w:rFonts w:ascii="Arial Narrow" w:hAnsi="Arial Narrow" w:cs="Arial"/>
                <w:sz w:val="20"/>
                <w:szCs w:val="20"/>
              </w:rPr>
              <w:t>ontrato, cuando a ello hubiere lugar, en la plataforma del SECOP II o herramienta que el Gobierno Nacional determine,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7A2B9B40"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4C7D656D" w14:textId="4D3B6201"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01A8F44C" w14:textId="66105D6C" w:rsidR="00E44785" w:rsidRPr="002A2754" w:rsidRDefault="003D6CB0" w:rsidP="0093582A">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3E569C">
              <w:rPr>
                <w:rFonts w:ascii="Arial Narrow" w:hAnsi="Arial Narrow" w:cs="Arial"/>
                <w:sz w:val="20"/>
                <w:szCs w:val="20"/>
              </w:rPr>
              <w:t>C</w:t>
            </w:r>
            <w:r>
              <w:rPr>
                <w:rFonts w:ascii="Arial Narrow" w:hAnsi="Arial Narrow" w:cs="Arial"/>
                <w:sz w:val="20"/>
                <w:szCs w:val="20"/>
              </w:rPr>
              <w:t xml:space="preserve">ontratación.  </w:t>
            </w:r>
          </w:p>
        </w:tc>
        <w:tc>
          <w:tcPr>
            <w:tcW w:w="2410" w:type="dxa"/>
            <w:tcBorders>
              <w:top w:val="nil"/>
              <w:left w:val="nil"/>
              <w:bottom w:val="single" w:sz="4" w:space="0" w:color="auto"/>
              <w:right w:val="single" w:sz="4" w:space="0" w:color="auto"/>
            </w:tcBorders>
            <w:shd w:val="clear" w:color="000000" w:fill="FFFFFF"/>
            <w:vAlign w:val="center"/>
            <w:hideMark/>
          </w:tcPr>
          <w:p w14:paraId="49B0B816" w14:textId="57F5F47E"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P</w:t>
            </w:r>
            <w:r w:rsidR="00E44785" w:rsidRPr="002A2754">
              <w:rPr>
                <w:rFonts w:ascii="Arial Narrow" w:hAnsi="Arial Narrow" w:cs="Arial"/>
                <w:sz w:val="20"/>
                <w:szCs w:val="20"/>
              </w:rPr>
              <w:t>ublicación del contrato en el SECOP suscrito por las partes</w:t>
            </w:r>
            <w:r w:rsidR="00C8355B">
              <w:rPr>
                <w:rFonts w:ascii="Arial Narrow" w:hAnsi="Arial Narrow" w:cs="Arial"/>
                <w:sz w:val="20"/>
                <w:szCs w:val="20"/>
              </w:rPr>
              <w:t>.</w:t>
            </w:r>
          </w:p>
        </w:tc>
      </w:tr>
      <w:tr w:rsidR="00E44785" w14:paraId="0E22982E" w14:textId="77777777" w:rsidTr="002879DC">
        <w:trPr>
          <w:trHeight w:val="229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4202EFB"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14</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11B75723" w14:textId="77777777"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Registrar el contrato por parte del Grupo de Gestión Financiera (Nivel central) o quien haga sus veces (nivel territorial) e ingresar dicha información en la plataforma del SECOP II o herramienta que el Gobierno Nacional determine, por quien se designe para el efecto.</w:t>
            </w:r>
          </w:p>
        </w:tc>
        <w:tc>
          <w:tcPr>
            <w:tcW w:w="1640" w:type="dxa"/>
            <w:tcBorders>
              <w:top w:val="nil"/>
              <w:left w:val="nil"/>
              <w:bottom w:val="single" w:sz="4" w:space="0" w:color="auto"/>
              <w:right w:val="single" w:sz="4" w:space="0" w:color="auto"/>
            </w:tcBorders>
            <w:shd w:val="clear" w:color="000000" w:fill="FFFFFF"/>
            <w:vAlign w:val="center"/>
            <w:hideMark/>
          </w:tcPr>
          <w:p w14:paraId="4196883F" w14:textId="1BB5806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 xml:space="preserve">Nivel Central: Subdirección Administrativa y Financiera - Grupo de Contratos, Grupo de Gestión Financiera. </w:t>
            </w:r>
            <w:r w:rsidRPr="002A2754">
              <w:rPr>
                <w:rFonts w:ascii="Arial Narrow" w:hAnsi="Arial Narrow" w:cs="Arial"/>
                <w:sz w:val="20"/>
                <w:szCs w:val="20"/>
              </w:rPr>
              <w:br w:type="page"/>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46F5AB02" w14:textId="0FC867FE" w:rsidR="00E44785" w:rsidRPr="002A2754" w:rsidRDefault="00A74DE7" w:rsidP="0093582A">
            <w:pPr>
              <w:spacing w:before="80" w:after="80"/>
              <w:jc w:val="center"/>
              <w:rPr>
                <w:rFonts w:ascii="Arial Narrow" w:hAnsi="Arial Narrow" w:cs="Arial"/>
                <w:sz w:val="20"/>
                <w:szCs w:val="20"/>
              </w:rPr>
            </w:pPr>
            <w:r w:rsidRPr="002A2754">
              <w:rPr>
                <w:rFonts w:ascii="Arial Narrow" w:hAnsi="Arial Narrow" w:cs="Arial"/>
                <w:sz w:val="20"/>
                <w:szCs w:val="20"/>
              </w:rPr>
              <w:t>N/A</w:t>
            </w:r>
          </w:p>
        </w:tc>
        <w:tc>
          <w:tcPr>
            <w:tcW w:w="2410" w:type="dxa"/>
            <w:tcBorders>
              <w:top w:val="nil"/>
              <w:left w:val="nil"/>
              <w:bottom w:val="single" w:sz="4" w:space="0" w:color="auto"/>
              <w:right w:val="single" w:sz="4" w:space="0" w:color="auto"/>
            </w:tcBorders>
            <w:shd w:val="clear" w:color="000000" w:fill="FFFFFF"/>
            <w:vAlign w:val="center"/>
            <w:hideMark/>
          </w:tcPr>
          <w:p w14:paraId="59AE4890" w14:textId="60BB8D05"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R</w:t>
            </w:r>
            <w:r w:rsidR="00E44785" w:rsidRPr="002A2754">
              <w:rPr>
                <w:rFonts w:ascii="Arial Narrow" w:hAnsi="Arial Narrow" w:cs="Arial"/>
                <w:sz w:val="20"/>
                <w:szCs w:val="20"/>
              </w:rPr>
              <w:t>egistro   presupuestal</w:t>
            </w:r>
            <w:r w:rsidR="00C8355B">
              <w:rPr>
                <w:rFonts w:ascii="Arial Narrow" w:hAnsi="Arial Narrow" w:cs="Arial"/>
                <w:sz w:val="20"/>
                <w:szCs w:val="20"/>
              </w:rPr>
              <w:t xml:space="preserve"> y su ingreso en la plataforma SECOP.</w:t>
            </w:r>
          </w:p>
        </w:tc>
      </w:tr>
      <w:tr w:rsidR="00E44785" w14:paraId="38A6A63A" w14:textId="77777777" w:rsidTr="00C8355B">
        <w:trPr>
          <w:trHeight w:val="1928"/>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034C459"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15</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635D678A" w14:textId="77777777"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Revisar y aprobar la garantía solicitada para el contrato resultante en la plataforma del SECOP II o herramienta que el Gobierno Nacional determine,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654F3A24"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115A17D7" w14:textId="52D2352F"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48514C80" w14:textId="3588746B" w:rsidR="00E44785" w:rsidRPr="002A2754" w:rsidRDefault="00A74DE7" w:rsidP="0093582A">
            <w:pPr>
              <w:spacing w:before="80" w:after="80"/>
              <w:jc w:val="center"/>
              <w:rPr>
                <w:rFonts w:ascii="Arial Narrow" w:hAnsi="Arial Narrow" w:cs="Arial"/>
                <w:sz w:val="20"/>
                <w:szCs w:val="20"/>
              </w:rPr>
            </w:pPr>
            <w:r w:rsidRPr="002A2754">
              <w:rPr>
                <w:rFonts w:ascii="Arial Narrow" w:hAnsi="Arial Narrow" w:cs="Arial"/>
                <w:sz w:val="20"/>
                <w:szCs w:val="20"/>
              </w:rPr>
              <w:t>N/A</w:t>
            </w:r>
          </w:p>
        </w:tc>
        <w:tc>
          <w:tcPr>
            <w:tcW w:w="2410" w:type="dxa"/>
            <w:tcBorders>
              <w:top w:val="nil"/>
              <w:left w:val="nil"/>
              <w:bottom w:val="single" w:sz="4" w:space="0" w:color="auto"/>
              <w:right w:val="single" w:sz="4" w:space="0" w:color="auto"/>
            </w:tcBorders>
            <w:shd w:val="clear" w:color="000000" w:fill="FFFFFF"/>
            <w:vAlign w:val="center"/>
            <w:hideMark/>
          </w:tcPr>
          <w:p w14:paraId="71F0A995" w14:textId="428B3D15"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 xml:space="preserve">Póliza aprobada y </w:t>
            </w:r>
            <w:r w:rsidR="00E44785" w:rsidRPr="002A2754">
              <w:rPr>
                <w:rFonts w:ascii="Arial Narrow" w:hAnsi="Arial Narrow" w:cs="Arial"/>
                <w:sz w:val="20"/>
                <w:szCs w:val="20"/>
              </w:rPr>
              <w:t>cargada en la plataforma SECOP con fecha</w:t>
            </w:r>
            <w:r w:rsidR="00C8355B">
              <w:rPr>
                <w:rFonts w:ascii="Arial Narrow" w:hAnsi="Arial Narrow" w:cs="Arial"/>
                <w:sz w:val="20"/>
                <w:szCs w:val="20"/>
              </w:rPr>
              <w:t>.</w:t>
            </w:r>
          </w:p>
        </w:tc>
      </w:tr>
      <w:tr w:rsidR="00E44785" w14:paraId="0B0CD476" w14:textId="77777777" w:rsidTr="00C8355B">
        <w:trPr>
          <w:trHeight w:val="198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C43C487"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16</w:t>
            </w:r>
          </w:p>
        </w:tc>
        <w:tc>
          <w:tcPr>
            <w:tcW w:w="3379" w:type="dxa"/>
            <w:tcBorders>
              <w:top w:val="single" w:sz="4" w:space="0" w:color="auto"/>
              <w:left w:val="nil"/>
              <w:bottom w:val="single" w:sz="4" w:space="0" w:color="auto"/>
              <w:right w:val="nil"/>
            </w:tcBorders>
            <w:shd w:val="clear" w:color="000000" w:fill="FFFFFF"/>
            <w:vAlign w:val="center"/>
            <w:hideMark/>
          </w:tcPr>
          <w:p w14:paraId="7ED7577D" w14:textId="77777777"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Remitir por el sistema de gestión documental Orfeo o por la plataforma SECOP II, la comunicación de designación de supervisión al funcionario determinado en el contrato, y suscribir el acta de inicio en aquellos casos en que se pacte.</w:t>
            </w:r>
          </w:p>
        </w:tc>
        <w:tc>
          <w:tcPr>
            <w:tcW w:w="1640" w:type="dxa"/>
            <w:tcBorders>
              <w:top w:val="nil"/>
              <w:left w:val="single" w:sz="4" w:space="0" w:color="auto"/>
              <w:bottom w:val="single" w:sz="4" w:space="0" w:color="auto"/>
              <w:right w:val="single" w:sz="4" w:space="0" w:color="auto"/>
            </w:tcBorders>
            <w:shd w:val="clear" w:color="000000" w:fill="FFFFFF"/>
            <w:vAlign w:val="center"/>
            <w:hideMark/>
          </w:tcPr>
          <w:p w14:paraId="0646C631"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26445EB5" w14:textId="00884189"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27F208D1" w14:textId="40556CEF" w:rsidR="00E44785" w:rsidRPr="002A2754" w:rsidRDefault="00CE443F" w:rsidP="0093582A">
            <w:pPr>
              <w:spacing w:before="80" w:after="80"/>
              <w:jc w:val="center"/>
              <w:rPr>
                <w:rFonts w:ascii="Arial Narrow" w:hAnsi="Arial Narrow" w:cs="Arial"/>
                <w:sz w:val="20"/>
                <w:szCs w:val="20"/>
              </w:rPr>
            </w:pPr>
            <w:r>
              <w:rPr>
                <w:rFonts w:ascii="Arial Narrow" w:hAnsi="Arial Narrow" w:cs="Arial"/>
                <w:sz w:val="20"/>
                <w:szCs w:val="20"/>
              </w:rPr>
              <w:t xml:space="preserve">Manual de Contratación y Guía Supervisión e </w:t>
            </w:r>
            <w:r w:rsidR="0078789A">
              <w:rPr>
                <w:rFonts w:ascii="Arial Narrow" w:hAnsi="Arial Narrow" w:cs="Arial"/>
                <w:sz w:val="20"/>
                <w:szCs w:val="20"/>
              </w:rPr>
              <w:t>Interventoría</w:t>
            </w:r>
            <w:r>
              <w:rPr>
                <w:rFonts w:ascii="Arial Narrow" w:hAnsi="Arial Narrow" w:cs="Arial"/>
                <w:sz w:val="20"/>
                <w:szCs w:val="20"/>
              </w:rPr>
              <w:t>.</w:t>
            </w:r>
          </w:p>
        </w:tc>
        <w:tc>
          <w:tcPr>
            <w:tcW w:w="2410" w:type="dxa"/>
            <w:tcBorders>
              <w:top w:val="nil"/>
              <w:left w:val="nil"/>
              <w:bottom w:val="single" w:sz="4" w:space="0" w:color="auto"/>
              <w:right w:val="single" w:sz="8" w:space="0" w:color="auto"/>
            </w:tcBorders>
            <w:shd w:val="clear" w:color="000000" w:fill="FFFFFF"/>
            <w:vAlign w:val="center"/>
            <w:hideMark/>
          </w:tcPr>
          <w:p w14:paraId="0B490336" w14:textId="086CFFC8" w:rsidR="00E44785" w:rsidRPr="002A2754" w:rsidRDefault="001966E6" w:rsidP="0093582A">
            <w:pPr>
              <w:spacing w:before="80" w:after="80"/>
              <w:jc w:val="both"/>
              <w:rPr>
                <w:rFonts w:ascii="Arial Narrow" w:hAnsi="Arial Narrow" w:cs="Arial"/>
                <w:sz w:val="20"/>
                <w:szCs w:val="20"/>
              </w:rPr>
            </w:pPr>
            <w:r>
              <w:rPr>
                <w:rFonts w:ascii="Arial Narrow" w:hAnsi="Arial Narrow" w:cs="Arial"/>
                <w:sz w:val="20"/>
                <w:szCs w:val="20"/>
              </w:rPr>
              <w:t>D</w:t>
            </w:r>
            <w:r w:rsidR="00E44785" w:rsidRPr="002A2754">
              <w:rPr>
                <w:rFonts w:ascii="Arial Narrow" w:hAnsi="Arial Narrow" w:cs="Arial"/>
                <w:sz w:val="20"/>
                <w:szCs w:val="20"/>
              </w:rPr>
              <w:t>esignación de</w:t>
            </w:r>
            <w:r w:rsidR="00C8355B">
              <w:rPr>
                <w:rFonts w:ascii="Arial Narrow" w:hAnsi="Arial Narrow" w:cs="Arial"/>
                <w:sz w:val="20"/>
                <w:szCs w:val="20"/>
              </w:rPr>
              <w:t>l</w:t>
            </w:r>
            <w:r w:rsidR="00E44785" w:rsidRPr="002A2754">
              <w:rPr>
                <w:rFonts w:ascii="Arial Narrow" w:hAnsi="Arial Narrow" w:cs="Arial"/>
                <w:sz w:val="20"/>
                <w:szCs w:val="20"/>
              </w:rPr>
              <w:t xml:space="preserve"> supervisor </w:t>
            </w:r>
            <w:r w:rsidR="00C8355B">
              <w:rPr>
                <w:rFonts w:ascii="Arial Narrow" w:hAnsi="Arial Narrow" w:cs="Arial"/>
                <w:sz w:val="20"/>
                <w:szCs w:val="20"/>
              </w:rPr>
              <w:t xml:space="preserve">remitida por el </w:t>
            </w:r>
            <w:r w:rsidR="00E44785" w:rsidRPr="002A2754">
              <w:rPr>
                <w:rFonts w:ascii="Arial Narrow" w:hAnsi="Arial Narrow" w:cs="Arial"/>
                <w:sz w:val="20"/>
                <w:szCs w:val="20"/>
              </w:rPr>
              <w:t>Sistema de Gestión Documental ORFEO o por el SECOP II</w:t>
            </w:r>
            <w:r w:rsidR="00C8355B">
              <w:rPr>
                <w:rFonts w:ascii="Arial Narrow" w:hAnsi="Arial Narrow" w:cs="Arial"/>
                <w:sz w:val="20"/>
                <w:szCs w:val="20"/>
              </w:rPr>
              <w:t>.</w:t>
            </w:r>
          </w:p>
        </w:tc>
      </w:tr>
      <w:tr w:rsidR="00E44785" w14:paraId="4D80007A" w14:textId="77777777" w:rsidTr="00C8355B">
        <w:trPr>
          <w:trHeight w:val="2154"/>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063F5BEF"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17</w:t>
            </w:r>
          </w:p>
        </w:tc>
        <w:tc>
          <w:tcPr>
            <w:tcW w:w="3379" w:type="dxa"/>
            <w:tcBorders>
              <w:top w:val="single" w:sz="4" w:space="0" w:color="auto"/>
              <w:left w:val="nil"/>
              <w:bottom w:val="single" w:sz="4" w:space="0" w:color="auto"/>
              <w:right w:val="single" w:sz="4" w:space="0" w:color="000000"/>
            </w:tcBorders>
            <w:shd w:val="clear" w:color="000000" w:fill="FFFFFF"/>
            <w:vAlign w:val="center"/>
            <w:hideMark/>
          </w:tcPr>
          <w:p w14:paraId="47B6819E" w14:textId="77777777" w:rsidR="00E44785" w:rsidRPr="002A2754" w:rsidRDefault="00E44785" w:rsidP="0093582A">
            <w:pPr>
              <w:spacing w:before="80" w:after="80"/>
              <w:jc w:val="both"/>
              <w:rPr>
                <w:rFonts w:ascii="Arial Narrow" w:hAnsi="Arial Narrow" w:cs="Arial"/>
                <w:sz w:val="20"/>
                <w:szCs w:val="20"/>
              </w:rPr>
            </w:pPr>
            <w:r w:rsidRPr="002A2754">
              <w:rPr>
                <w:rFonts w:ascii="Arial Narrow" w:hAnsi="Arial Narrow" w:cs="Arial"/>
                <w:sz w:val="20"/>
                <w:szCs w:val="20"/>
              </w:rPr>
              <w:t>Elaborar y publicar las adiciones, modificaciones, suspensiones, prorrogas en la plataforma SECOP II o herramienta que el Gobierno Nacional determine,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58B25FEB" w14:textId="77777777" w:rsidR="0093582A"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Central: Subdirección Administrativa y Financiera - Grupo de Contratos.</w:t>
            </w:r>
          </w:p>
          <w:p w14:paraId="3F97612A" w14:textId="79D0C214"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2D776F23" w14:textId="5A8DB412" w:rsidR="00E44785" w:rsidRPr="002A2754" w:rsidRDefault="00CE443F" w:rsidP="0093582A">
            <w:pPr>
              <w:spacing w:before="80" w:after="80"/>
              <w:jc w:val="center"/>
              <w:rPr>
                <w:rFonts w:ascii="Arial Narrow" w:hAnsi="Arial Narrow" w:cs="Arial"/>
                <w:sz w:val="20"/>
                <w:szCs w:val="20"/>
              </w:rPr>
            </w:pPr>
            <w:r>
              <w:rPr>
                <w:rFonts w:ascii="Arial Narrow" w:hAnsi="Arial Narrow" w:cs="Arial"/>
                <w:sz w:val="20"/>
                <w:szCs w:val="20"/>
              </w:rPr>
              <w:t xml:space="preserve">Manual de Contratación y Guía Supervisión e </w:t>
            </w:r>
            <w:r w:rsidR="0078789A">
              <w:rPr>
                <w:rFonts w:ascii="Arial Narrow" w:hAnsi="Arial Narrow" w:cs="Arial"/>
                <w:sz w:val="20"/>
                <w:szCs w:val="20"/>
              </w:rPr>
              <w:t>Interventoría</w:t>
            </w:r>
            <w:r>
              <w:rPr>
                <w:rFonts w:ascii="Arial Narrow" w:hAnsi="Arial Narrow" w:cs="Arial"/>
                <w:sz w:val="20"/>
                <w:szCs w:val="20"/>
              </w:rPr>
              <w:t>.</w:t>
            </w:r>
          </w:p>
        </w:tc>
        <w:tc>
          <w:tcPr>
            <w:tcW w:w="2410" w:type="dxa"/>
            <w:tcBorders>
              <w:top w:val="nil"/>
              <w:left w:val="nil"/>
              <w:bottom w:val="single" w:sz="4" w:space="0" w:color="auto"/>
              <w:right w:val="single" w:sz="4" w:space="0" w:color="auto"/>
            </w:tcBorders>
            <w:shd w:val="clear" w:color="000000" w:fill="FFFFFF"/>
            <w:vAlign w:val="center"/>
            <w:hideMark/>
          </w:tcPr>
          <w:p w14:paraId="59EF5440" w14:textId="52DF2AEB"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E</w:t>
            </w:r>
            <w:r w:rsidR="00E44785" w:rsidRPr="002A2754">
              <w:rPr>
                <w:rFonts w:ascii="Arial Narrow" w:hAnsi="Arial Narrow" w:cs="Arial"/>
                <w:sz w:val="20"/>
                <w:szCs w:val="20"/>
              </w:rPr>
              <w:t>xpedición del</w:t>
            </w:r>
            <w:r w:rsidR="00C8355B">
              <w:rPr>
                <w:rFonts w:ascii="Arial Narrow" w:hAnsi="Arial Narrow" w:cs="Arial"/>
                <w:sz w:val="20"/>
                <w:szCs w:val="20"/>
              </w:rPr>
              <w:t xml:space="preserve"> </w:t>
            </w:r>
            <w:r w:rsidR="00E44785" w:rsidRPr="002A2754">
              <w:rPr>
                <w:rFonts w:ascii="Arial Narrow" w:hAnsi="Arial Narrow" w:cs="Arial"/>
                <w:sz w:val="20"/>
                <w:szCs w:val="20"/>
              </w:rPr>
              <w:t>registro presupuestal y aprobación de la garantía cuando a ello hubiera lugar</w:t>
            </w:r>
            <w:r w:rsidR="00C8355B">
              <w:rPr>
                <w:rFonts w:ascii="Arial Narrow" w:hAnsi="Arial Narrow" w:cs="Arial"/>
                <w:sz w:val="20"/>
                <w:szCs w:val="20"/>
              </w:rPr>
              <w:t>.</w:t>
            </w:r>
          </w:p>
        </w:tc>
      </w:tr>
      <w:tr w:rsidR="00E44785" w14:paraId="30265B02" w14:textId="77777777" w:rsidTr="002879DC">
        <w:trPr>
          <w:trHeight w:val="187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315F" w14:textId="77777777" w:rsidR="00E44785" w:rsidRPr="002A2754" w:rsidRDefault="00E44785" w:rsidP="0093582A">
            <w:pPr>
              <w:spacing w:before="80" w:after="80"/>
              <w:jc w:val="center"/>
              <w:rPr>
                <w:rFonts w:ascii="Arial Narrow" w:hAnsi="Arial Narrow" w:cs="Arial"/>
                <w:sz w:val="20"/>
                <w:szCs w:val="20"/>
              </w:rPr>
            </w:pPr>
            <w:r w:rsidRPr="002A2754">
              <w:rPr>
                <w:rFonts w:ascii="Arial Narrow" w:hAnsi="Arial Narrow" w:cs="Arial"/>
                <w:sz w:val="20"/>
                <w:szCs w:val="20"/>
              </w:rPr>
              <w:lastRenderedPageBreak/>
              <w:t>18</w:t>
            </w:r>
          </w:p>
        </w:tc>
        <w:tc>
          <w:tcPr>
            <w:tcW w:w="3379" w:type="dxa"/>
            <w:tcBorders>
              <w:top w:val="single" w:sz="4" w:space="0" w:color="auto"/>
              <w:left w:val="nil"/>
              <w:bottom w:val="single" w:sz="4" w:space="0" w:color="auto"/>
              <w:right w:val="single" w:sz="4" w:space="0" w:color="000000"/>
            </w:tcBorders>
            <w:shd w:val="clear" w:color="auto" w:fill="auto"/>
            <w:noWrap/>
            <w:vAlign w:val="center"/>
            <w:hideMark/>
          </w:tcPr>
          <w:p w14:paraId="7E287913" w14:textId="3642813F" w:rsidR="00A74DE7" w:rsidRPr="00D94B7C" w:rsidRDefault="00E44785" w:rsidP="0093582A">
            <w:pPr>
              <w:spacing w:before="80" w:after="80"/>
              <w:jc w:val="both"/>
              <w:rPr>
                <w:rFonts w:ascii="Arial Narrow" w:hAnsi="Arial Narrow" w:cs="Arial"/>
                <w:sz w:val="20"/>
                <w:szCs w:val="20"/>
              </w:rPr>
            </w:pPr>
            <w:r w:rsidRPr="00D94B7C">
              <w:rPr>
                <w:rFonts w:ascii="Arial Narrow" w:hAnsi="Arial Narrow" w:cs="Arial"/>
                <w:noProof/>
                <w:sz w:val="20"/>
                <w:szCs w:val="20"/>
                <w:lang w:val="en-US" w:eastAsia="en-US"/>
              </w:rPr>
              <mc:AlternateContent>
                <mc:Choice Requires="wps">
                  <w:drawing>
                    <wp:anchor distT="0" distB="0" distL="114300" distR="114300" simplePos="0" relativeHeight="251658240" behindDoc="0" locked="0" layoutInCell="1" allowOverlap="1" wp14:anchorId="16EE7602" wp14:editId="264898F1">
                      <wp:simplePos x="0" y="0"/>
                      <wp:positionH relativeFrom="column">
                        <wp:posOffset>19050</wp:posOffset>
                      </wp:positionH>
                      <wp:positionV relativeFrom="paragraph">
                        <wp:posOffset>781050</wp:posOffset>
                      </wp:positionV>
                      <wp:extent cx="19050" cy="161925"/>
                      <wp:effectExtent l="76200" t="0" r="76200" b="9525"/>
                      <wp:wrapNone/>
                      <wp:docPr id="78036" name="Cuadro de texto 78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89D290" id="_x0000_t202" coordsize="21600,21600" o:spt="202" path="m,l,21600r21600,l21600,xe">
                      <v:stroke joinstyle="miter"/>
                      <v:path gradientshapeok="t" o:connecttype="rect"/>
                    </v:shapetype>
                    <v:shape id="Cuadro de texto 78036" o:spid="_x0000_s1026" type="#_x0000_t202" style="position:absolute;margin-left:1.5pt;margin-top:61.5pt;width: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" filled="f" stroked="f"/>
                  </w:pict>
                </mc:Fallback>
              </mc:AlternateContent>
            </w:r>
            <w:r w:rsidRPr="00D94B7C">
              <w:rPr>
                <w:rFonts w:ascii="Arial Narrow" w:hAnsi="Arial Narrow" w:cs="Arial"/>
                <w:sz w:val="20"/>
                <w:szCs w:val="20"/>
              </w:rPr>
              <w:t>Elaborar y publicar el acta de liquidación, cuando a ello hubiere lugar, en la plataforma SECOP II o herramienta que el Gobierno Nacional determine, de conformidad con la ley, reglamento y/o lineamientos dados por Colombia Compra Eficiente y aquellos que expida la entidad.</w:t>
            </w:r>
          </w:p>
        </w:tc>
        <w:tc>
          <w:tcPr>
            <w:tcW w:w="1640" w:type="dxa"/>
            <w:tcBorders>
              <w:top w:val="nil"/>
              <w:left w:val="nil"/>
              <w:bottom w:val="single" w:sz="4" w:space="0" w:color="auto"/>
              <w:right w:val="single" w:sz="4" w:space="0" w:color="auto"/>
            </w:tcBorders>
            <w:shd w:val="clear" w:color="000000" w:fill="FFFFFF"/>
            <w:vAlign w:val="center"/>
            <w:hideMark/>
          </w:tcPr>
          <w:p w14:paraId="365D5995" w14:textId="77777777" w:rsidR="0093582A" w:rsidRDefault="00E44785" w:rsidP="0093582A">
            <w:pPr>
              <w:spacing w:before="80" w:after="80"/>
              <w:jc w:val="center"/>
              <w:rPr>
                <w:rFonts w:ascii="Arial Narrow" w:hAnsi="Arial Narrow" w:cs="Arial"/>
                <w:sz w:val="20"/>
                <w:szCs w:val="20"/>
              </w:rPr>
            </w:pPr>
            <w:r w:rsidRPr="00D94B7C">
              <w:rPr>
                <w:rFonts w:ascii="Arial Narrow" w:hAnsi="Arial Narrow" w:cs="Arial"/>
                <w:sz w:val="20"/>
                <w:szCs w:val="20"/>
              </w:rPr>
              <w:t>Nivel Central: Subdirección Administrativa y Financiera - Grupo de Contratos.</w:t>
            </w:r>
          </w:p>
          <w:p w14:paraId="71B9BEF7" w14:textId="5266371E" w:rsidR="00E44785" w:rsidRPr="00D94B7C" w:rsidRDefault="00E44785" w:rsidP="0093582A">
            <w:pPr>
              <w:spacing w:before="80" w:after="80"/>
              <w:jc w:val="center"/>
              <w:rPr>
                <w:rFonts w:ascii="Arial Narrow" w:hAnsi="Arial Narrow" w:cs="Arial"/>
                <w:sz w:val="20"/>
                <w:szCs w:val="20"/>
              </w:rPr>
            </w:pPr>
            <w:r w:rsidRPr="00D94B7C">
              <w:rPr>
                <w:rFonts w:ascii="Arial Narrow" w:hAnsi="Arial Narrow" w:cs="Arial"/>
                <w:sz w:val="20"/>
                <w:szCs w:val="20"/>
              </w:rPr>
              <w:t>Nivel Territorial: Dirección Territorial.</w:t>
            </w:r>
          </w:p>
        </w:tc>
        <w:tc>
          <w:tcPr>
            <w:tcW w:w="1501" w:type="dxa"/>
            <w:tcBorders>
              <w:top w:val="nil"/>
              <w:left w:val="nil"/>
              <w:bottom w:val="single" w:sz="4" w:space="0" w:color="auto"/>
              <w:right w:val="single" w:sz="4" w:space="0" w:color="auto"/>
            </w:tcBorders>
            <w:shd w:val="clear" w:color="auto" w:fill="auto"/>
            <w:vAlign w:val="center"/>
            <w:hideMark/>
          </w:tcPr>
          <w:p w14:paraId="7DE00DAD" w14:textId="4E2F3C20" w:rsidR="00E44785" w:rsidRPr="002A2754" w:rsidRDefault="00CE443F" w:rsidP="0093582A">
            <w:pPr>
              <w:spacing w:before="80" w:after="80"/>
              <w:jc w:val="center"/>
              <w:rPr>
                <w:rFonts w:ascii="Arial Narrow" w:hAnsi="Arial Narrow" w:cs="Arial"/>
                <w:sz w:val="20"/>
                <w:szCs w:val="20"/>
              </w:rPr>
            </w:pPr>
            <w:r>
              <w:rPr>
                <w:rFonts w:ascii="Arial Narrow" w:hAnsi="Arial Narrow" w:cs="Arial"/>
                <w:sz w:val="20"/>
                <w:szCs w:val="20"/>
              </w:rPr>
              <w:t>Manual de Contratación y Guía Supervisión e Interventoria.</w:t>
            </w:r>
          </w:p>
        </w:tc>
        <w:tc>
          <w:tcPr>
            <w:tcW w:w="2410" w:type="dxa"/>
            <w:tcBorders>
              <w:top w:val="nil"/>
              <w:left w:val="nil"/>
              <w:bottom w:val="single" w:sz="4" w:space="0" w:color="auto"/>
              <w:right w:val="single" w:sz="4" w:space="0" w:color="auto"/>
            </w:tcBorders>
            <w:shd w:val="clear" w:color="000000" w:fill="FFFFFF"/>
            <w:vAlign w:val="center"/>
            <w:hideMark/>
          </w:tcPr>
          <w:p w14:paraId="1779A11C" w14:textId="4A5EACDA" w:rsidR="00E44785" w:rsidRPr="002A2754" w:rsidRDefault="00B861D2" w:rsidP="0093582A">
            <w:pPr>
              <w:spacing w:before="80" w:after="80"/>
              <w:jc w:val="both"/>
              <w:rPr>
                <w:rFonts w:ascii="Arial Narrow" w:hAnsi="Arial Narrow" w:cs="Arial"/>
                <w:sz w:val="20"/>
                <w:szCs w:val="20"/>
              </w:rPr>
            </w:pPr>
            <w:r>
              <w:rPr>
                <w:rFonts w:ascii="Arial Narrow" w:hAnsi="Arial Narrow" w:cs="Arial"/>
                <w:sz w:val="20"/>
                <w:szCs w:val="20"/>
              </w:rPr>
              <w:t>P</w:t>
            </w:r>
            <w:r w:rsidR="00E44785" w:rsidRPr="002A2754">
              <w:rPr>
                <w:rFonts w:ascii="Arial Narrow" w:hAnsi="Arial Narrow" w:cs="Arial"/>
                <w:sz w:val="20"/>
                <w:szCs w:val="20"/>
              </w:rPr>
              <w:t>ublicación del acta de liquidación en la plataforma SECOP</w:t>
            </w:r>
          </w:p>
        </w:tc>
      </w:tr>
    </w:tbl>
    <w:p w14:paraId="75BB3405" w14:textId="2ED29A03" w:rsidR="00B36FFA" w:rsidRDefault="00B36FFA" w:rsidP="00B36FFA"/>
    <w:p w14:paraId="08AA6899" w14:textId="77777777" w:rsidR="00F404F2" w:rsidRPr="00E835FE"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2" w:name="_Toc32778308"/>
      <w:r w:rsidRPr="00E835FE">
        <w:rPr>
          <w:rFonts w:ascii="Arial Narrow" w:hAnsi="Arial Narrow"/>
          <w:sz w:val="22"/>
          <w:szCs w:val="22"/>
        </w:rPr>
        <w:t>ANEXOS</w:t>
      </w:r>
      <w:bookmarkEnd w:id="52"/>
    </w:p>
    <w:p w14:paraId="73E7C839" w14:textId="36C22119" w:rsidR="00480A37" w:rsidRPr="00790E4D" w:rsidRDefault="00735F0A" w:rsidP="005B1BCE">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 xml:space="preserve">Anexo </w:t>
      </w:r>
      <w:r w:rsidR="008F6CD3">
        <w:rPr>
          <w:rFonts w:ascii="Arial Narrow" w:hAnsi="Arial Narrow"/>
          <w:sz w:val="22"/>
          <w:szCs w:val="22"/>
        </w:rPr>
        <w:t xml:space="preserve">1. </w:t>
      </w:r>
      <w:r w:rsidRPr="00790E4D">
        <w:rPr>
          <w:rFonts w:ascii="Arial Narrow" w:hAnsi="Arial Narrow"/>
          <w:sz w:val="22"/>
          <w:szCs w:val="22"/>
        </w:rPr>
        <w:t xml:space="preserve">Flujograma Procedimiento </w:t>
      </w:r>
      <w:r w:rsidR="00042FC0">
        <w:rPr>
          <w:rFonts w:ascii="Arial Narrow" w:hAnsi="Arial Narrow"/>
          <w:sz w:val="22"/>
          <w:szCs w:val="22"/>
        </w:rPr>
        <w:t>de S</w:t>
      </w:r>
      <w:r w:rsidR="008F6CD3">
        <w:rPr>
          <w:rFonts w:ascii="Arial Narrow" w:hAnsi="Arial Narrow"/>
          <w:sz w:val="22"/>
          <w:szCs w:val="22"/>
        </w:rPr>
        <w:t xml:space="preserve">elección </w:t>
      </w:r>
      <w:r w:rsidR="00042FC0">
        <w:rPr>
          <w:rFonts w:ascii="Arial Narrow" w:hAnsi="Arial Narrow"/>
          <w:sz w:val="22"/>
          <w:szCs w:val="22"/>
        </w:rPr>
        <w:t>A</w:t>
      </w:r>
      <w:r w:rsidR="008F6CD3">
        <w:rPr>
          <w:rFonts w:ascii="Arial Narrow" w:hAnsi="Arial Narrow"/>
          <w:sz w:val="22"/>
          <w:szCs w:val="22"/>
        </w:rPr>
        <w:t xml:space="preserve">breviada por </w:t>
      </w:r>
      <w:r w:rsidR="00042FC0">
        <w:rPr>
          <w:rFonts w:ascii="Arial Narrow" w:hAnsi="Arial Narrow"/>
          <w:sz w:val="22"/>
          <w:szCs w:val="22"/>
        </w:rPr>
        <w:t>S</w:t>
      </w:r>
      <w:r w:rsidR="008F6CD3">
        <w:rPr>
          <w:rFonts w:ascii="Arial Narrow" w:hAnsi="Arial Narrow"/>
          <w:sz w:val="22"/>
          <w:szCs w:val="22"/>
        </w:rPr>
        <w:t xml:space="preserve">ubasta </w:t>
      </w:r>
      <w:r w:rsidR="00042FC0">
        <w:rPr>
          <w:rFonts w:ascii="Arial Narrow" w:hAnsi="Arial Narrow"/>
          <w:sz w:val="22"/>
          <w:szCs w:val="22"/>
        </w:rPr>
        <w:t>I</w:t>
      </w:r>
      <w:r w:rsidR="008F6CD3">
        <w:rPr>
          <w:rFonts w:ascii="Arial Narrow" w:hAnsi="Arial Narrow"/>
          <w:sz w:val="22"/>
          <w:szCs w:val="22"/>
        </w:rPr>
        <w:t>nversa</w:t>
      </w:r>
      <w:r w:rsidR="00042FC0">
        <w:rPr>
          <w:rFonts w:ascii="Arial Narrow" w:hAnsi="Arial Narrow"/>
          <w:sz w:val="22"/>
          <w:szCs w:val="22"/>
        </w:rPr>
        <w:t xml:space="preserve"> </w:t>
      </w:r>
      <w:r w:rsidR="00F0118D">
        <w:rPr>
          <w:rFonts w:ascii="Arial Narrow" w:hAnsi="Arial Narrow"/>
          <w:sz w:val="22"/>
          <w:szCs w:val="22"/>
        </w:rPr>
        <w:t>Electrónica</w:t>
      </w:r>
      <w:r w:rsidR="00042FC0">
        <w:rPr>
          <w:rFonts w:ascii="Arial Narrow" w:hAnsi="Arial Narrow"/>
          <w:sz w:val="22"/>
          <w:szCs w:val="22"/>
        </w:rPr>
        <w:t>.</w:t>
      </w:r>
    </w:p>
    <w:p w14:paraId="1DF933F6" w14:textId="77777777" w:rsidR="00163F49" w:rsidRPr="00817B38"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3" w:name="_Toc32778309"/>
      <w:r w:rsidRPr="00E835FE">
        <w:rPr>
          <w:rFonts w:ascii="Arial Narrow" w:hAnsi="Arial Narrow"/>
          <w:sz w:val="22"/>
          <w:szCs w:val="22"/>
        </w:rPr>
        <w:t>CONTROL DE CAMBIOS</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1134"/>
        <w:gridCol w:w="5730"/>
      </w:tblGrid>
      <w:tr w:rsidR="000313C1" w:rsidRPr="00817B38" w14:paraId="65FAB54A" w14:textId="77777777" w:rsidTr="00F027DE">
        <w:trPr>
          <w:trHeight w:val="289"/>
          <w:tblHeader/>
          <w:jc w:val="center"/>
        </w:trPr>
        <w:tc>
          <w:tcPr>
            <w:tcW w:w="2278" w:type="dxa"/>
            <w:vAlign w:val="center"/>
          </w:tcPr>
          <w:p w14:paraId="7C4B2494"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FECHA DE VIGENCIA VERSIÓN ANTERIOR</w:t>
            </w:r>
          </w:p>
        </w:tc>
        <w:tc>
          <w:tcPr>
            <w:tcW w:w="1134" w:type="dxa"/>
            <w:vAlign w:val="center"/>
          </w:tcPr>
          <w:p w14:paraId="69C73527" w14:textId="77777777" w:rsidR="000313C1" w:rsidRPr="00F027DE" w:rsidRDefault="000313C1" w:rsidP="00E154B8">
            <w:pPr>
              <w:pStyle w:val="Encabezado"/>
              <w:tabs>
                <w:tab w:val="clear" w:pos="4252"/>
                <w:tab w:val="clear" w:pos="8504"/>
              </w:tabs>
              <w:spacing w:before="120" w:after="120"/>
              <w:jc w:val="center"/>
              <w:rPr>
                <w:rFonts w:ascii="Arial Narrow" w:hAnsi="Arial Narrow"/>
                <w:b/>
                <w:bCs/>
                <w:szCs w:val="20"/>
              </w:rPr>
            </w:pPr>
            <w:r w:rsidRPr="00F027DE">
              <w:rPr>
                <w:rFonts w:ascii="Arial Narrow" w:hAnsi="Arial Narrow"/>
                <w:b/>
                <w:bCs/>
                <w:szCs w:val="20"/>
              </w:rPr>
              <w:t>VERSIÓN ANTERIOR</w:t>
            </w:r>
          </w:p>
        </w:tc>
        <w:tc>
          <w:tcPr>
            <w:tcW w:w="5730" w:type="dxa"/>
            <w:vAlign w:val="center"/>
          </w:tcPr>
          <w:p w14:paraId="1A4F0EE2"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MOTIVO DE LA MODIFICACIÓN</w:t>
            </w:r>
          </w:p>
        </w:tc>
      </w:tr>
      <w:tr w:rsidR="00E00A0D" w:rsidRPr="00817B38" w14:paraId="1F056B68" w14:textId="77777777" w:rsidTr="00F027DE">
        <w:trPr>
          <w:trHeight w:val="283"/>
          <w:jc w:val="center"/>
        </w:trPr>
        <w:tc>
          <w:tcPr>
            <w:tcW w:w="2278" w:type="dxa"/>
            <w:vAlign w:val="center"/>
          </w:tcPr>
          <w:p w14:paraId="48ABB070" w14:textId="2BD799B4" w:rsidR="00E00A0D" w:rsidRPr="0093582A" w:rsidRDefault="00E00A0D" w:rsidP="00E00A0D">
            <w:pPr>
              <w:pStyle w:val="Encabezado"/>
              <w:tabs>
                <w:tab w:val="clear" w:pos="4252"/>
                <w:tab w:val="clear" w:pos="8504"/>
              </w:tabs>
              <w:spacing w:before="120" w:after="120"/>
              <w:jc w:val="center"/>
              <w:rPr>
                <w:rFonts w:ascii="Arial Narrow" w:hAnsi="Arial Narrow"/>
                <w:sz w:val="22"/>
                <w:szCs w:val="22"/>
              </w:rPr>
            </w:pPr>
            <w:r w:rsidRPr="0093582A">
              <w:rPr>
                <w:rFonts w:ascii="Arial Narrow" w:hAnsi="Arial Narrow"/>
                <w:sz w:val="22"/>
                <w:szCs w:val="22"/>
              </w:rPr>
              <w:t>16/10/2019</w:t>
            </w:r>
          </w:p>
        </w:tc>
        <w:tc>
          <w:tcPr>
            <w:tcW w:w="1134" w:type="dxa"/>
            <w:vAlign w:val="center"/>
          </w:tcPr>
          <w:p w14:paraId="7D9C9B11" w14:textId="1D7DDAC0" w:rsidR="00E00A0D" w:rsidRPr="0093582A" w:rsidRDefault="00E00A0D" w:rsidP="00E00A0D">
            <w:pPr>
              <w:pStyle w:val="Encabezado"/>
              <w:tabs>
                <w:tab w:val="clear" w:pos="4252"/>
                <w:tab w:val="clear" w:pos="8504"/>
              </w:tabs>
              <w:spacing w:before="120" w:after="120"/>
              <w:jc w:val="center"/>
              <w:rPr>
                <w:rFonts w:ascii="Arial Narrow" w:hAnsi="Arial Narrow"/>
                <w:sz w:val="22"/>
                <w:szCs w:val="22"/>
              </w:rPr>
            </w:pPr>
            <w:r w:rsidRPr="00C8355B">
              <w:rPr>
                <w:rFonts w:ascii="Arial Narrow" w:hAnsi="Arial Narrow"/>
                <w:szCs w:val="20"/>
              </w:rPr>
              <w:t>5</w:t>
            </w:r>
          </w:p>
        </w:tc>
        <w:tc>
          <w:tcPr>
            <w:tcW w:w="5730" w:type="dxa"/>
            <w:vAlign w:val="center"/>
          </w:tcPr>
          <w:p w14:paraId="5C317B76" w14:textId="77777777" w:rsidR="00E00A0D" w:rsidRDefault="00E00A0D" w:rsidP="00E00A0D">
            <w:pPr>
              <w:pStyle w:val="Encabezado"/>
              <w:spacing w:before="120" w:after="120"/>
              <w:rPr>
                <w:rFonts w:ascii="Arial Narrow" w:hAnsi="Arial Narrow"/>
                <w:sz w:val="22"/>
                <w:szCs w:val="22"/>
              </w:rPr>
            </w:pPr>
            <w:r>
              <w:rPr>
                <w:rFonts w:ascii="Arial Narrow" w:hAnsi="Arial Narrow"/>
                <w:sz w:val="22"/>
                <w:szCs w:val="22"/>
              </w:rPr>
              <w:t>Se modificó el nombre y código del procedimiento por cambio de nombre del proceso en el mapa de procesos pasando de “</w:t>
            </w:r>
            <w:r w:rsidRPr="00C8355B">
              <w:rPr>
                <w:rFonts w:ascii="Arial Narrow" w:hAnsi="Arial Narrow"/>
                <w:sz w:val="22"/>
                <w:szCs w:val="22"/>
              </w:rPr>
              <w:t>subasta inversa presencial</w:t>
            </w:r>
            <w:r>
              <w:rPr>
                <w:rFonts w:ascii="Arial Narrow" w:hAnsi="Arial Narrow"/>
                <w:sz w:val="22"/>
                <w:szCs w:val="22"/>
              </w:rPr>
              <w:t>” código ABS</w:t>
            </w:r>
            <w:r w:rsidRPr="00693AB8">
              <w:rPr>
                <w:rFonts w:ascii="Arial Narrow" w:hAnsi="Arial Narrow"/>
                <w:sz w:val="22"/>
                <w:szCs w:val="22"/>
              </w:rPr>
              <w:t>_PR_07 del proceso Adquisición de bienes y servicios a “Selección abreviada por Subasta Inversa Electrónica” código GC_PR_07</w:t>
            </w:r>
            <w:r>
              <w:rPr>
                <w:rFonts w:ascii="Arial Narrow" w:hAnsi="Arial Narrow"/>
                <w:sz w:val="22"/>
                <w:szCs w:val="22"/>
              </w:rPr>
              <w:t xml:space="preserve"> del proceso Gestión Contractual, su cambio de nombre se debe a que actualmente no se realiza presencial sino electrónicamente.</w:t>
            </w:r>
          </w:p>
          <w:p w14:paraId="7BF5C7F8" w14:textId="40062E9E" w:rsidR="00E00A0D" w:rsidRPr="0093582A" w:rsidRDefault="00E00A0D" w:rsidP="00E00A0D">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Pr>
                <w:rFonts w:ascii="Arial Narrow" w:hAnsi="Arial Narrow"/>
                <w:sz w:val="22"/>
                <w:szCs w:val="22"/>
              </w:rPr>
              <w:t xml:space="preserve"> y se actualizaron los </w:t>
            </w:r>
            <w:r w:rsidRPr="008A07AE">
              <w:rPr>
                <w:rFonts w:ascii="Arial Narrow" w:hAnsi="Arial Narrow"/>
                <w:sz w:val="22"/>
                <w:szCs w:val="22"/>
              </w:rPr>
              <w:t>puntos de control a los requerimientos normativos</w:t>
            </w:r>
            <w:r>
              <w:rPr>
                <w:rFonts w:ascii="Arial Narrow" w:hAnsi="Arial Narrow"/>
                <w:sz w:val="22"/>
                <w:szCs w:val="22"/>
              </w:rPr>
              <w:t xml:space="preserve"> en el capítulo 8 y se actualizó la normatividad aplicable.</w:t>
            </w:r>
          </w:p>
        </w:tc>
      </w:tr>
      <w:tr w:rsidR="00F027DE" w:rsidRPr="00817B38" w14:paraId="279AD0AA" w14:textId="77777777" w:rsidTr="00D054CA">
        <w:trPr>
          <w:trHeight w:val="567"/>
          <w:jc w:val="center"/>
        </w:trPr>
        <w:tc>
          <w:tcPr>
            <w:tcW w:w="2278" w:type="dxa"/>
            <w:vAlign w:val="center"/>
          </w:tcPr>
          <w:p w14:paraId="6B30F3A0" w14:textId="5FDF5194" w:rsidR="00F027DE" w:rsidRPr="0093582A" w:rsidRDefault="00E00A0D" w:rsidP="00F027DE">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29/12/2022</w:t>
            </w:r>
          </w:p>
        </w:tc>
        <w:tc>
          <w:tcPr>
            <w:tcW w:w="1134" w:type="dxa"/>
            <w:vAlign w:val="center"/>
          </w:tcPr>
          <w:p w14:paraId="4FFF3B2F" w14:textId="4354358F" w:rsidR="00F027DE" w:rsidRPr="00C8355B" w:rsidRDefault="00E00A0D" w:rsidP="00F027DE">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6</w:t>
            </w:r>
          </w:p>
        </w:tc>
        <w:tc>
          <w:tcPr>
            <w:tcW w:w="5730" w:type="dxa"/>
            <w:vAlign w:val="center"/>
          </w:tcPr>
          <w:p w14:paraId="49A623D4" w14:textId="77777777" w:rsidR="00346AFD" w:rsidRDefault="00346AFD" w:rsidP="00346AFD">
            <w:pPr>
              <w:pStyle w:val="NormalWeb"/>
              <w:spacing w:before="60" w:after="60"/>
              <w:jc w:val="both"/>
              <w:rPr>
                <w:rFonts w:ascii="Arial Narrow" w:eastAsia="Times New Roman" w:hAnsi="Arial Narrow"/>
                <w:color w:val="auto"/>
                <w:sz w:val="22"/>
                <w:szCs w:val="22"/>
              </w:rPr>
            </w:pPr>
            <w:r>
              <w:rPr>
                <w:rFonts w:ascii="Arial Narrow" w:eastAsia="Times New Roman" w:hAnsi="Arial Narrow"/>
                <w:color w:val="auto"/>
                <w:sz w:val="22"/>
                <w:szCs w:val="22"/>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0D8E4FDF" w14:textId="05B9660B" w:rsidR="00F027DE" w:rsidRPr="00E00A0D" w:rsidRDefault="00346AFD" w:rsidP="00346AFD">
            <w:pPr>
              <w:spacing w:before="60" w:after="60"/>
              <w:jc w:val="both"/>
              <w:rPr>
                <w:lang w:val="es-CO" w:eastAsia="en-US"/>
              </w:rPr>
            </w:pPr>
            <w:r>
              <w:rPr>
                <w:rFonts w:ascii="Arial Narrow" w:hAnsi="Arial Narrow"/>
                <w:sz w:val="22"/>
                <w:szCs w:val="22"/>
              </w:rPr>
              <w:t>Las fechas y nombres que aparecen en el control de revisión y aprobación (Créditos), obedecen a las fechas registradas en el documento antes de la migración del documento al nuevo mapa de procesos.</w:t>
            </w:r>
          </w:p>
        </w:tc>
      </w:tr>
    </w:tbl>
    <w:p w14:paraId="5187EA4C" w14:textId="0A299A64" w:rsidR="00E1388E" w:rsidRDefault="00E1388E">
      <w:pPr>
        <w:rPr>
          <w:rFonts w:ascii="Arial Narrow" w:hAnsi="Arial Narrow"/>
          <w:sz w:val="22"/>
          <w:szCs w:val="22"/>
        </w:rPr>
      </w:pPr>
    </w:p>
    <w:p w14:paraId="79149596" w14:textId="25BBA297" w:rsidR="00693AB8" w:rsidRDefault="00693AB8">
      <w:pPr>
        <w:rPr>
          <w:rFonts w:ascii="Arial Narrow" w:hAnsi="Arial Narrow"/>
          <w:sz w:val="22"/>
          <w:szCs w:val="22"/>
        </w:rPr>
      </w:pPr>
    </w:p>
    <w:p w14:paraId="2A594184" w14:textId="3D332372" w:rsidR="00693AB8" w:rsidRDefault="00693AB8">
      <w:pPr>
        <w:rPr>
          <w:rFonts w:ascii="Arial Narrow" w:hAnsi="Arial Narrow"/>
          <w:sz w:val="22"/>
          <w:szCs w:val="22"/>
        </w:rPr>
      </w:pPr>
    </w:p>
    <w:p w14:paraId="76267FA6" w14:textId="3DFC05FB" w:rsidR="00693AB8" w:rsidRDefault="00693AB8">
      <w:pPr>
        <w:rPr>
          <w:rFonts w:ascii="Arial Narrow" w:hAnsi="Arial Narrow"/>
          <w:sz w:val="22"/>
          <w:szCs w:val="22"/>
        </w:rPr>
      </w:pPr>
    </w:p>
    <w:p w14:paraId="087E4B2C" w14:textId="77777777" w:rsidR="00693AB8" w:rsidRDefault="00693AB8">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6804"/>
      </w:tblGrid>
      <w:tr w:rsidR="0093582A" w:rsidRPr="00E835FE" w14:paraId="30F5164B" w14:textId="77777777" w:rsidTr="00964773">
        <w:trPr>
          <w:trHeight w:val="330"/>
        </w:trPr>
        <w:tc>
          <w:tcPr>
            <w:tcW w:w="9077"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1F14BC8" w14:textId="77777777" w:rsidR="0093582A" w:rsidRPr="00E835FE" w:rsidRDefault="0093582A" w:rsidP="00964773">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93582A" w:rsidRPr="00E835FE" w14:paraId="32078800"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564FE88" w14:textId="77777777" w:rsidR="0093582A" w:rsidRPr="00E835FE" w:rsidRDefault="0093582A" w:rsidP="00964773">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E858597" w14:textId="77777777" w:rsidR="0093582A" w:rsidRPr="00E835FE" w:rsidRDefault="0093582A"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362D80E" w14:textId="77777777" w:rsidR="0093582A" w:rsidRPr="00E835FE" w:rsidRDefault="0093582A" w:rsidP="00964773">
            <w:pPr>
              <w:rPr>
                <w:rFonts w:ascii="Arial Narrow" w:hAnsi="Arial Narrow"/>
                <w:sz w:val="22"/>
                <w:szCs w:val="22"/>
              </w:rPr>
            </w:pPr>
            <w:r w:rsidRPr="008A07AE">
              <w:rPr>
                <w:rFonts w:ascii="Arial Narrow" w:hAnsi="Arial Narrow" w:cs="Arial"/>
                <w:sz w:val="22"/>
                <w:szCs w:val="22"/>
              </w:rPr>
              <w:t>Leidy Marcela Garavito Romero</w:t>
            </w:r>
          </w:p>
        </w:tc>
      </w:tr>
      <w:tr w:rsidR="003E569C" w:rsidRPr="00E835FE" w14:paraId="0F9AB090"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5F925AA" w14:textId="77777777" w:rsidR="003E569C" w:rsidRPr="00E835FE" w:rsidRDefault="003E569C" w:rsidP="003E569C">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226D768" w14:textId="77777777" w:rsidR="003E569C" w:rsidRPr="00E835FE" w:rsidRDefault="003E569C" w:rsidP="003E569C">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72272CB" w14:textId="7A6FCBF9" w:rsidR="003E569C" w:rsidRPr="00E835FE" w:rsidRDefault="003E569C" w:rsidP="003E569C">
            <w:pPr>
              <w:rPr>
                <w:rFonts w:ascii="Arial Narrow" w:hAnsi="Arial Narrow"/>
                <w:sz w:val="22"/>
                <w:szCs w:val="22"/>
              </w:rPr>
            </w:pPr>
            <w:r>
              <w:rPr>
                <w:rFonts w:ascii="Arial Narrow" w:hAnsi="Arial Narrow" w:cs="Arial"/>
                <w:sz w:val="22"/>
                <w:szCs w:val="22"/>
              </w:rPr>
              <w:t>Profesional Especializado</w:t>
            </w:r>
            <w:r w:rsidRPr="008A07AE">
              <w:rPr>
                <w:rFonts w:ascii="Arial Narrow" w:hAnsi="Arial Narrow" w:cs="Arial"/>
                <w:sz w:val="22"/>
                <w:szCs w:val="22"/>
              </w:rPr>
              <w:t xml:space="preserve"> </w:t>
            </w:r>
            <w:r>
              <w:rPr>
                <w:rFonts w:ascii="Arial Narrow" w:hAnsi="Arial Narrow" w:cs="Arial"/>
                <w:sz w:val="22"/>
                <w:szCs w:val="22"/>
              </w:rPr>
              <w:t xml:space="preserve">– </w:t>
            </w:r>
            <w:r w:rsidRPr="00BE2B39">
              <w:rPr>
                <w:rFonts w:ascii="Arial Narrow" w:hAnsi="Arial Narrow" w:cs="Arial"/>
                <w:sz w:val="22"/>
                <w:szCs w:val="22"/>
              </w:rPr>
              <w:t>Grupo de Contratos</w:t>
            </w:r>
          </w:p>
        </w:tc>
      </w:tr>
      <w:tr w:rsidR="003E569C" w:rsidRPr="00E835FE" w14:paraId="3E2DF1F5"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C743D7C" w14:textId="77777777" w:rsidR="003E569C" w:rsidRPr="00E835FE" w:rsidRDefault="003E569C" w:rsidP="003E569C">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5267883A" w14:textId="77777777" w:rsidR="003E569C" w:rsidRPr="00E835FE" w:rsidRDefault="003E569C" w:rsidP="003E569C">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8E1EC2A" w14:textId="589D46F7" w:rsidR="003E569C" w:rsidRPr="00E835FE" w:rsidRDefault="00676CE4" w:rsidP="003E569C">
            <w:pPr>
              <w:rPr>
                <w:rFonts w:ascii="Arial Narrow" w:hAnsi="Arial Narrow"/>
                <w:sz w:val="22"/>
                <w:szCs w:val="22"/>
              </w:rPr>
            </w:pPr>
            <w:r>
              <w:rPr>
                <w:rFonts w:ascii="Arial Narrow" w:hAnsi="Arial Narrow" w:cs="Arial"/>
                <w:sz w:val="22"/>
                <w:szCs w:val="22"/>
              </w:rPr>
              <w:t>18/11/2022</w:t>
            </w:r>
          </w:p>
        </w:tc>
      </w:tr>
      <w:tr w:rsidR="0093582A" w:rsidRPr="00E835FE" w14:paraId="34576D22"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A810A9" w14:textId="77777777" w:rsidR="0093582A" w:rsidRPr="00E835FE" w:rsidRDefault="0093582A" w:rsidP="00964773">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193CFE6" w14:textId="77777777" w:rsidR="0093582A" w:rsidRPr="00E835FE" w:rsidRDefault="0093582A"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E9BA6B5" w14:textId="77777777" w:rsidR="0093582A" w:rsidRPr="00E835FE" w:rsidRDefault="0093582A" w:rsidP="00964773">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93582A" w:rsidRPr="00E835FE" w14:paraId="712965A8"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902831A" w14:textId="77777777" w:rsidR="0093582A" w:rsidRPr="00E835FE" w:rsidRDefault="0093582A"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06C3671" w14:textId="77777777" w:rsidR="0093582A" w:rsidRPr="00E835FE" w:rsidRDefault="0093582A" w:rsidP="00964773">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22715728" w14:textId="77777777" w:rsidR="0093582A" w:rsidRPr="00E835FE" w:rsidRDefault="0093582A" w:rsidP="00964773">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93582A" w:rsidRPr="00E835FE" w14:paraId="65432D9E"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C2DCCD9" w14:textId="77777777" w:rsidR="0093582A" w:rsidRPr="00E835FE" w:rsidRDefault="0093582A"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418938C" w14:textId="77777777" w:rsidR="0093582A" w:rsidRPr="00E835FE" w:rsidRDefault="0093582A" w:rsidP="00964773">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1DE13F39" w14:textId="07EE75AC" w:rsidR="0093582A" w:rsidRPr="00E835FE" w:rsidRDefault="00E5574D" w:rsidP="00964773">
            <w:pPr>
              <w:rPr>
                <w:rFonts w:ascii="Arial Narrow" w:hAnsi="Arial Narrow"/>
                <w:sz w:val="22"/>
                <w:szCs w:val="22"/>
              </w:rPr>
            </w:pPr>
            <w:r>
              <w:rPr>
                <w:rFonts w:ascii="Arial Narrow" w:hAnsi="Arial Narrow" w:cs="Arial"/>
                <w:sz w:val="22"/>
                <w:szCs w:val="22"/>
              </w:rPr>
              <w:t>14/12/2022</w:t>
            </w:r>
          </w:p>
        </w:tc>
      </w:tr>
      <w:tr w:rsidR="00543FE9" w:rsidRPr="00E835FE" w14:paraId="4027F653" w14:textId="77777777" w:rsidTr="00964773">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5D3A0447" w14:textId="77777777" w:rsidR="00543FE9" w:rsidRPr="00E835FE" w:rsidRDefault="00543FE9" w:rsidP="00543FE9">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15C2F7A1" w14:textId="77777777" w:rsidR="00543FE9" w:rsidRPr="00E835FE" w:rsidRDefault="00543FE9" w:rsidP="00543FE9">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73A29B2D" w14:textId="75783CD3" w:rsidR="00543FE9" w:rsidRPr="00E835FE" w:rsidRDefault="00543FE9" w:rsidP="00543FE9">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543FE9" w:rsidRPr="00E835FE" w14:paraId="4B229DA0"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821940F" w14:textId="77777777" w:rsidR="00543FE9" w:rsidRPr="00E835FE" w:rsidRDefault="00543FE9" w:rsidP="00543FE9">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B39EF59" w14:textId="77777777" w:rsidR="00543FE9" w:rsidRPr="00E835FE" w:rsidRDefault="00543FE9" w:rsidP="00543FE9">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189FF264" w14:textId="5985139A" w:rsidR="00543FE9" w:rsidRPr="00E835FE" w:rsidRDefault="00543FE9" w:rsidP="00543FE9">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543FE9" w:rsidRPr="00E835FE" w14:paraId="2640A9B3"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A05DEEA" w14:textId="77777777" w:rsidR="00543FE9" w:rsidRPr="00E835FE" w:rsidRDefault="00543FE9" w:rsidP="00543FE9">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E457E0B" w14:textId="77777777" w:rsidR="00543FE9" w:rsidRPr="00E835FE" w:rsidRDefault="00543FE9" w:rsidP="00543FE9">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B0126F6" w14:textId="5CF04F93" w:rsidR="00543FE9" w:rsidRPr="00E835FE" w:rsidRDefault="00693AB8" w:rsidP="00543FE9">
            <w:pPr>
              <w:rPr>
                <w:rFonts w:ascii="Arial Narrow" w:hAnsi="Arial Narrow"/>
                <w:sz w:val="22"/>
                <w:szCs w:val="22"/>
              </w:rPr>
            </w:pPr>
            <w:r>
              <w:rPr>
                <w:rFonts w:ascii="Arial Narrow" w:hAnsi="Arial Narrow" w:cs="Arial"/>
                <w:sz w:val="22"/>
                <w:szCs w:val="22"/>
              </w:rPr>
              <w:t>16</w:t>
            </w:r>
            <w:r w:rsidR="00E5574D">
              <w:rPr>
                <w:rFonts w:ascii="Arial Narrow" w:hAnsi="Arial Narrow" w:cs="Arial"/>
                <w:sz w:val="22"/>
                <w:szCs w:val="22"/>
              </w:rPr>
              <w:t>/12/2022</w:t>
            </w:r>
          </w:p>
        </w:tc>
      </w:tr>
    </w:tbl>
    <w:p w14:paraId="49E05423" w14:textId="3E08A9AB" w:rsidR="0093582A" w:rsidRDefault="0093582A">
      <w:pPr>
        <w:rPr>
          <w:rFonts w:ascii="Arial Narrow" w:hAnsi="Arial Narrow"/>
          <w:sz w:val="22"/>
          <w:szCs w:val="22"/>
        </w:rPr>
      </w:pPr>
    </w:p>
    <w:p w14:paraId="47159C1F" w14:textId="77777777" w:rsidR="0093582A" w:rsidRDefault="0093582A">
      <w:pPr>
        <w:tabs>
          <w:tab w:val="left" w:pos="1106"/>
        </w:tabs>
        <w:rPr>
          <w:rFonts w:ascii="Arial Narrow" w:hAnsi="Arial Narrow"/>
          <w:sz w:val="22"/>
          <w:szCs w:val="22"/>
        </w:rPr>
      </w:pPr>
    </w:p>
    <w:p w14:paraId="24D67229" w14:textId="77777777" w:rsidR="003E569C" w:rsidRDefault="003E569C">
      <w:pPr>
        <w:tabs>
          <w:tab w:val="left" w:pos="1106"/>
        </w:tabs>
        <w:rPr>
          <w:rFonts w:ascii="Arial Narrow" w:hAnsi="Arial Narrow"/>
          <w:sz w:val="22"/>
          <w:szCs w:val="22"/>
        </w:rPr>
      </w:pPr>
    </w:p>
    <w:p w14:paraId="09BB061E" w14:textId="77777777" w:rsidR="003E569C" w:rsidRDefault="003E569C">
      <w:pPr>
        <w:tabs>
          <w:tab w:val="left" w:pos="1106"/>
        </w:tabs>
        <w:rPr>
          <w:rFonts w:ascii="Arial Narrow" w:hAnsi="Arial Narrow"/>
          <w:sz w:val="22"/>
          <w:szCs w:val="22"/>
        </w:rPr>
      </w:pPr>
    </w:p>
    <w:p w14:paraId="32D72A68" w14:textId="77777777" w:rsidR="003E569C" w:rsidRDefault="003E569C">
      <w:pPr>
        <w:tabs>
          <w:tab w:val="left" w:pos="1106"/>
        </w:tabs>
        <w:rPr>
          <w:rFonts w:ascii="Arial Narrow" w:hAnsi="Arial Narrow"/>
          <w:sz w:val="22"/>
          <w:szCs w:val="22"/>
        </w:rPr>
      </w:pPr>
    </w:p>
    <w:p w14:paraId="48F60626" w14:textId="77777777" w:rsidR="003E569C" w:rsidRDefault="003E569C">
      <w:pPr>
        <w:tabs>
          <w:tab w:val="left" w:pos="1106"/>
        </w:tabs>
        <w:rPr>
          <w:rFonts w:ascii="Arial Narrow" w:hAnsi="Arial Narrow"/>
          <w:sz w:val="22"/>
          <w:szCs w:val="22"/>
        </w:rPr>
      </w:pPr>
    </w:p>
    <w:p w14:paraId="15DDAEF9" w14:textId="77777777" w:rsidR="003E569C" w:rsidRDefault="003E569C">
      <w:pPr>
        <w:tabs>
          <w:tab w:val="left" w:pos="1106"/>
        </w:tabs>
        <w:rPr>
          <w:rFonts w:ascii="Arial Narrow" w:hAnsi="Arial Narrow"/>
          <w:sz w:val="22"/>
          <w:szCs w:val="22"/>
        </w:rPr>
      </w:pPr>
    </w:p>
    <w:p w14:paraId="0ECFFD52" w14:textId="77777777" w:rsidR="003E569C" w:rsidRDefault="003E569C">
      <w:pPr>
        <w:tabs>
          <w:tab w:val="left" w:pos="1106"/>
        </w:tabs>
        <w:rPr>
          <w:rFonts w:ascii="Arial Narrow" w:hAnsi="Arial Narrow"/>
          <w:sz w:val="22"/>
          <w:szCs w:val="22"/>
        </w:rPr>
      </w:pPr>
    </w:p>
    <w:p w14:paraId="19CCDC04" w14:textId="77777777" w:rsidR="003E569C" w:rsidRDefault="003E569C">
      <w:pPr>
        <w:tabs>
          <w:tab w:val="left" w:pos="1106"/>
        </w:tabs>
        <w:rPr>
          <w:rFonts w:ascii="Arial Narrow" w:hAnsi="Arial Narrow"/>
          <w:sz w:val="22"/>
          <w:szCs w:val="22"/>
        </w:rPr>
      </w:pPr>
    </w:p>
    <w:p w14:paraId="1057A8AF" w14:textId="77777777" w:rsidR="003E569C" w:rsidRDefault="003E569C">
      <w:pPr>
        <w:tabs>
          <w:tab w:val="left" w:pos="1106"/>
        </w:tabs>
        <w:rPr>
          <w:rFonts w:ascii="Arial Narrow" w:hAnsi="Arial Narrow"/>
          <w:sz w:val="22"/>
          <w:szCs w:val="22"/>
        </w:rPr>
      </w:pPr>
    </w:p>
    <w:p w14:paraId="22A08C61" w14:textId="77777777" w:rsidR="003E569C" w:rsidRDefault="003E569C">
      <w:pPr>
        <w:tabs>
          <w:tab w:val="left" w:pos="1106"/>
        </w:tabs>
        <w:rPr>
          <w:rFonts w:ascii="Arial Narrow" w:hAnsi="Arial Narrow"/>
          <w:sz w:val="22"/>
          <w:szCs w:val="22"/>
        </w:rPr>
      </w:pPr>
    </w:p>
    <w:p w14:paraId="2EE841E8" w14:textId="77777777" w:rsidR="003E569C" w:rsidRDefault="003E569C">
      <w:pPr>
        <w:tabs>
          <w:tab w:val="left" w:pos="1106"/>
        </w:tabs>
        <w:rPr>
          <w:rFonts w:ascii="Arial Narrow" w:hAnsi="Arial Narrow"/>
          <w:sz w:val="22"/>
          <w:szCs w:val="22"/>
        </w:rPr>
      </w:pPr>
    </w:p>
    <w:p w14:paraId="55CE4117" w14:textId="77777777" w:rsidR="003E569C" w:rsidRDefault="003E569C">
      <w:pPr>
        <w:tabs>
          <w:tab w:val="left" w:pos="1106"/>
        </w:tabs>
        <w:rPr>
          <w:rFonts w:ascii="Arial Narrow" w:hAnsi="Arial Narrow"/>
          <w:sz w:val="22"/>
          <w:szCs w:val="22"/>
        </w:rPr>
      </w:pPr>
    </w:p>
    <w:p w14:paraId="025AD0A1" w14:textId="77777777" w:rsidR="003E569C" w:rsidRDefault="003E569C">
      <w:pPr>
        <w:tabs>
          <w:tab w:val="left" w:pos="1106"/>
        </w:tabs>
        <w:rPr>
          <w:rFonts w:ascii="Arial Narrow" w:hAnsi="Arial Narrow"/>
          <w:sz w:val="22"/>
          <w:szCs w:val="22"/>
        </w:rPr>
      </w:pPr>
    </w:p>
    <w:p w14:paraId="033D925C" w14:textId="77777777" w:rsidR="003E569C" w:rsidRDefault="003E569C">
      <w:pPr>
        <w:tabs>
          <w:tab w:val="left" w:pos="1106"/>
        </w:tabs>
        <w:rPr>
          <w:rFonts w:ascii="Arial Narrow" w:hAnsi="Arial Narrow"/>
          <w:sz w:val="22"/>
          <w:szCs w:val="22"/>
        </w:rPr>
      </w:pPr>
    </w:p>
    <w:p w14:paraId="4DA61644" w14:textId="77777777" w:rsidR="003E569C" w:rsidRDefault="003E569C">
      <w:pPr>
        <w:tabs>
          <w:tab w:val="left" w:pos="1106"/>
        </w:tabs>
        <w:rPr>
          <w:rFonts w:ascii="Arial Narrow" w:hAnsi="Arial Narrow"/>
          <w:sz w:val="22"/>
          <w:szCs w:val="22"/>
        </w:rPr>
      </w:pPr>
    </w:p>
    <w:p w14:paraId="5FC3B598" w14:textId="77777777" w:rsidR="003E569C" w:rsidRDefault="003E569C">
      <w:pPr>
        <w:tabs>
          <w:tab w:val="left" w:pos="1106"/>
        </w:tabs>
        <w:rPr>
          <w:rFonts w:ascii="Arial Narrow" w:hAnsi="Arial Narrow"/>
          <w:sz w:val="22"/>
          <w:szCs w:val="22"/>
        </w:rPr>
      </w:pPr>
    </w:p>
    <w:p w14:paraId="7C8384D6" w14:textId="77777777" w:rsidR="003E569C" w:rsidRDefault="003E569C">
      <w:pPr>
        <w:tabs>
          <w:tab w:val="left" w:pos="1106"/>
        </w:tabs>
        <w:rPr>
          <w:rFonts w:ascii="Arial Narrow" w:hAnsi="Arial Narrow"/>
          <w:sz w:val="22"/>
          <w:szCs w:val="22"/>
        </w:rPr>
      </w:pPr>
    </w:p>
    <w:p w14:paraId="03EC59BB" w14:textId="77777777" w:rsidR="003E569C" w:rsidRDefault="003E569C">
      <w:pPr>
        <w:tabs>
          <w:tab w:val="left" w:pos="1106"/>
        </w:tabs>
        <w:rPr>
          <w:rFonts w:ascii="Arial Narrow" w:hAnsi="Arial Narrow"/>
          <w:sz w:val="22"/>
          <w:szCs w:val="22"/>
        </w:rPr>
      </w:pPr>
    </w:p>
    <w:p w14:paraId="001A2780" w14:textId="77777777" w:rsidR="003E569C" w:rsidRDefault="003E569C">
      <w:pPr>
        <w:tabs>
          <w:tab w:val="left" w:pos="1106"/>
        </w:tabs>
        <w:rPr>
          <w:rFonts w:ascii="Arial Narrow" w:hAnsi="Arial Narrow"/>
          <w:sz w:val="22"/>
          <w:szCs w:val="22"/>
        </w:rPr>
      </w:pPr>
    </w:p>
    <w:p w14:paraId="05EA1E9D" w14:textId="1D3B1ED2" w:rsidR="003E569C" w:rsidRDefault="003E569C">
      <w:pPr>
        <w:tabs>
          <w:tab w:val="left" w:pos="1106"/>
        </w:tabs>
        <w:rPr>
          <w:rFonts w:ascii="Arial Narrow" w:hAnsi="Arial Narrow"/>
          <w:sz w:val="22"/>
          <w:szCs w:val="22"/>
        </w:rPr>
        <w:sectPr w:rsidR="003E569C" w:rsidSect="00905912">
          <w:footerReference w:type="first" r:id="rId12"/>
          <w:pgSz w:w="12242" w:h="15842" w:code="120"/>
          <w:pgMar w:top="1701" w:right="1134" w:bottom="1418" w:left="1701" w:header="567" w:footer="709" w:gutter="0"/>
          <w:cols w:space="708"/>
          <w:titlePg/>
          <w:docGrid w:linePitch="360"/>
        </w:sectPr>
      </w:pPr>
    </w:p>
    <w:p w14:paraId="6A89C25E" w14:textId="43304E89" w:rsidR="001D3B96" w:rsidRDefault="001D3B96">
      <w:pPr>
        <w:tabs>
          <w:tab w:val="left" w:pos="1106"/>
        </w:tabs>
        <w:rPr>
          <w:rFonts w:ascii="Arial Narrow" w:hAnsi="Arial Narrow"/>
          <w:sz w:val="22"/>
          <w:szCs w:val="22"/>
        </w:rPr>
      </w:pPr>
    </w:p>
    <w:p w14:paraId="786DBB49" w14:textId="52F6A7B8" w:rsidR="0093582A" w:rsidRDefault="0093582A" w:rsidP="002A2754">
      <w:pPr>
        <w:tabs>
          <w:tab w:val="left" w:pos="1106"/>
        </w:tabs>
        <w:rPr>
          <w:rFonts w:ascii="Arial Narrow" w:hAnsi="Arial Narrow"/>
          <w:sz w:val="22"/>
          <w:szCs w:val="22"/>
        </w:rPr>
      </w:pPr>
    </w:p>
    <w:p w14:paraId="3F6800D8" w14:textId="77777777" w:rsidR="0093582A" w:rsidRDefault="0093582A" w:rsidP="002A2754">
      <w:pPr>
        <w:tabs>
          <w:tab w:val="left" w:pos="1106"/>
        </w:tabs>
        <w:rPr>
          <w:rFonts w:ascii="Arial Narrow" w:hAnsi="Arial Narrow"/>
          <w:sz w:val="22"/>
          <w:szCs w:val="22"/>
        </w:rPr>
      </w:pPr>
    </w:p>
    <w:p w14:paraId="5C0299D4" w14:textId="1F0323AA" w:rsidR="0093582A" w:rsidRDefault="00D26AA7" w:rsidP="00F027DE">
      <w:pPr>
        <w:tabs>
          <w:tab w:val="left" w:pos="1106"/>
        </w:tabs>
        <w:jc w:val="center"/>
        <w:rPr>
          <w:rFonts w:ascii="Arial Narrow" w:hAnsi="Arial Narrow"/>
          <w:sz w:val="22"/>
          <w:szCs w:val="22"/>
        </w:rPr>
      </w:pPr>
      <w:r w:rsidRPr="00D26AA7">
        <w:rPr>
          <w:noProof/>
        </w:rPr>
        <w:lastRenderedPageBreak/>
        <w:drawing>
          <wp:inline distT="0" distB="0" distL="0" distR="0" wp14:anchorId="3BFB7B64" wp14:editId="5341D131">
            <wp:extent cx="5363210" cy="807910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3210" cy="8079105"/>
                    </a:xfrm>
                    <a:prstGeom prst="rect">
                      <a:avLst/>
                    </a:prstGeom>
                    <a:noFill/>
                    <a:ln>
                      <a:noFill/>
                    </a:ln>
                  </pic:spPr>
                </pic:pic>
              </a:graphicData>
            </a:graphic>
          </wp:inline>
        </w:drawing>
      </w:r>
    </w:p>
    <w:p w14:paraId="52D6904E" w14:textId="5BC483D2" w:rsidR="002C7D45" w:rsidRDefault="00D26AA7" w:rsidP="00F027DE">
      <w:pPr>
        <w:tabs>
          <w:tab w:val="left" w:pos="1106"/>
        </w:tabs>
        <w:jc w:val="center"/>
        <w:rPr>
          <w:rFonts w:ascii="Arial Narrow" w:hAnsi="Arial Narrow"/>
          <w:sz w:val="22"/>
          <w:szCs w:val="22"/>
        </w:rPr>
      </w:pPr>
      <w:r w:rsidRPr="00D26AA7">
        <w:rPr>
          <w:noProof/>
        </w:rPr>
        <w:lastRenderedPageBreak/>
        <w:drawing>
          <wp:inline distT="0" distB="0" distL="0" distR="0" wp14:anchorId="1D7DBE7D" wp14:editId="79E02A2E">
            <wp:extent cx="5432425" cy="80791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2425" cy="8079105"/>
                    </a:xfrm>
                    <a:prstGeom prst="rect">
                      <a:avLst/>
                    </a:prstGeom>
                    <a:noFill/>
                    <a:ln>
                      <a:noFill/>
                    </a:ln>
                  </pic:spPr>
                </pic:pic>
              </a:graphicData>
            </a:graphic>
          </wp:inline>
        </w:drawing>
      </w:r>
    </w:p>
    <w:p w14:paraId="1D01FBF0" w14:textId="63FD8DBF" w:rsidR="00D26AA7" w:rsidRPr="00E835FE" w:rsidRDefault="00D26AA7" w:rsidP="00F027DE">
      <w:pPr>
        <w:tabs>
          <w:tab w:val="left" w:pos="1106"/>
        </w:tabs>
        <w:jc w:val="center"/>
        <w:rPr>
          <w:rFonts w:ascii="Arial Narrow" w:hAnsi="Arial Narrow"/>
          <w:sz w:val="22"/>
          <w:szCs w:val="22"/>
        </w:rPr>
      </w:pPr>
      <w:r w:rsidRPr="00D26AA7">
        <w:rPr>
          <w:noProof/>
        </w:rPr>
        <w:lastRenderedPageBreak/>
        <w:drawing>
          <wp:inline distT="0" distB="0" distL="0" distR="0" wp14:anchorId="3DF140C9" wp14:editId="15F7B7D7">
            <wp:extent cx="5973445" cy="7772400"/>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3445" cy="7772400"/>
                    </a:xfrm>
                    <a:prstGeom prst="rect">
                      <a:avLst/>
                    </a:prstGeom>
                    <a:noFill/>
                    <a:ln>
                      <a:noFill/>
                    </a:ln>
                  </pic:spPr>
                </pic:pic>
              </a:graphicData>
            </a:graphic>
          </wp:inline>
        </w:drawing>
      </w:r>
    </w:p>
    <w:sectPr w:rsidR="00D26AA7" w:rsidRPr="00E835FE" w:rsidSect="0093582A">
      <w:headerReference w:type="default" r:id="rId16"/>
      <w:footerReference w:type="default" r:id="rId17"/>
      <w:type w:val="continuous"/>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ED1DE" w14:textId="77777777" w:rsidR="003B21C4" w:rsidRDefault="003B21C4">
      <w:r>
        <w:separator/>
      </w:r>
    </w:p>
  </w:endnote>
  <w:endnote w:type="continuationSeparator" w:id="0">
    <w:p w14:paraId="74F44486" w14:textId="77777777" w:rsidR="003B21C4" w:rsidRDefault="003B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F2575" w14:textId="571CE2ED" w:rsidR="00D26AA7" w:rsidRPr="0093582A" w:rsidRDefault="0093582A" w:rsidP="00D26AA7">
    <w:pPr>
      <w:pStyle w:val="Piedepgina"/>
      <w:jc w:val="center"/>
      <w:rPr>
        <w:rFonts w:ascii="Arial Narrow" w:hAnsi="Arial Narrow"/>
        <w:lang w:val="es-CO"/>
      </w:rPr>
    </w:pPr>
    <w:r>
      <w:rPr>
        <w:rFonts w:ascii="Arial Narrow" w:hAnsi="Arial Narrow"/>
        <w:lang w:val="es-CO"/>
      </w:rPr>
      <w:t xml:space="preserve">Pág. </w:t>
    </w:r>
    <w:r w:rsidRPr="00C14578">
      <w:rPr>
        <w:rFonts w:ascii="Arial Narrow" w:hAnsi="Arial Narrow"/>
        <w:b/>
        <w:bCs/>
        <w:lang w:val="es-CO"/>
      </w:rPr>
      <w:fldChar w:fldCharType="begin"/>
    </w:r>
    <w:r w:rsidRPr="00C14578">
      <w:rPr>
        <w:rFonts w:ascii="Arial Narrow" w:hAnsi="Arial Narrow"/>
        <w:b/>
        <w:bCs/>
        <w:lang w:val="es-CO"/>
      </w:rPr>
      <w:instrText>PAGE   \* MERGEFORMAT</w:instrText>
    </w:r>
    <w:r w:rsidRPr="00C14578">
      <w:rPr>
        <w:rFonts w:ascii="Arial Narrow" w:hAnsi="Arial Narrow"/>
        <w:b/>
        <w:bCs/>
        <w:lang w:val="es-CO"/>
      </w:rPr>
      <w:fldChar w:fldCharType="separate"/>
    </w:r>
    <w:r w:rsidR="001966E6" w:rsidRPr="00C14578">
      <w:rPr>
        <w:rFonts w:ascii="Arial Narrow" w:hAnsi="Arial Narrow"/>
        <w:b/>
        <w:bCs/>
        <w:noProof/>
        <w:lang w:val="es-CO"/>
      </w:rPr>
      <w:t>9</w:t>
    </w:r>
    <w:r w:rsidRPr="00C14578">
      <w:rPr>
        <w:rFonts w:ascii="Arial Narrow" w:hAnsi="Arial Narrow"/>
        <w:b/>
        <w:bCs/>
        <w:lang w:val="es-CO"/>
      </w:rPr>
      <w:fldChar w:fldCharType="end"/>
    </w:r>
    <w:r>
      <w:rPr>
        <w:rFonts w:ascii="Arial Narrow" w:hAnsi="Arial Narrow"/>
        <w:lang w:val="es-CO"/>
      </w:rPr>
      <w:t xml:space="preserve"> de </w:t>
    </w:r>
    <w:r w:rsidR="00D26AA7" w:rsidRPr="00C14578">
      <w:rPr>
        <w:rFonts w:ascii="Arial Narrow" w:hAnsi="Arial Narrow"/>
        <w:b/>
        <w:bCs/>
        <w:lang w:val="es-CO"/>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3D5F" w14:textId="3B83D12F" w:rsidR="00D26AA7" w:rsidRDefault="00D26AA7">
    <w:pPr>
      <w:pStyle w:val="Piedepgina"/>
      <w:jc w:val="center"/>
    </w:pPr>
  </w:p>
  <w:p w14:paraId="7BCEB1D8" w14:textId="77777777" w:rsidR="00D26AA7" w:rsidRDefault="00D26AA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168216"/>
      <w:docPartObj>
        <w:docPartGallery w:val="Page Numbers (Bottom of Page)"/>
        <w:docPartUnique/>
      </w:docPartObj>
    </w:sdtPr>
    <w:sdtEndPr/>
    <w:sdtContent>
      <w:sdt>
        <w:sdtPr>
          <w:id w:val="-392585277"/>
          <w:docPartObj>
            <w:docPartGallery w:val="Page Numbers (Top of Page)"/>
            <w:docPartUnique/>
          </w:docPartObj>
        </w:sdtPr>
        <w:sdtEndPr/>
        <w:sdtContent>
          <w:p w14:paraId="30AEAFDA" w14:textId="253881B7" w:rsidR="00D26AA7" w:rsidRDefault="00D26AA7">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sidR="00C14578">
              <w:rPr>
                <w:b/>
                <w:bCs/>
                <w:sz w:val="24"/>
                <w:szCs w:val="24"/>
              </w:rPr>
              <w:t>9</w:t>
            </w:r>
          </w:p>
        </w:sdtContent>
      </w:sdt>
    </w:sdtContent>
  </w:sdt>
  <w:p w14:paraId="389CFFAF" w14:textId="77777777" w:rsidR="00D26AA7" w:rsidRDefault="00D26AA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CEFA7" w14:textId="1C9D9ADA" w:rsidR="00D26AA7" w:rsidRPr="00D26AA7" w:rsidRDefault="00D26AA7" w:rsidP="00D26A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0140" w14:textId="77777777" w:rsidR="003B21C4" w:rsidRDefault="003B21C4">
      <w:r>
        <w:separator/>
      </w:r>
    </w:p>
  </w:footnote>
  <w:footnote w:type="continuationSeparator" w:id="0">
    <w:p w14:paraId="705E096A" w14:textId="77777777" w:rsidR="003B21C4" w:rsidRDefault="003B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693AB8" w14:paraId="681C1867" w14:textId="77777777" w:rsidTr="00693AB8">
      <w:trPr>
        <w:cantSplit/>
        <w:trHeight w:val="567"/>
        <w:tblHeader/>
      </w:trPr>
      <w:tc>
        <w:tcPr>
          <w:tcW w:w="1430" w:type="dxa"/>
          <w:vMerge w:val="restart"/>
        </w:tcPr>
        <w:p w14:paraId="1B7FC666" w14:textId="77777777" w:rsidR="00693AB8" w:rsidRDefault="00693AB8" w:rsidP="00693AB8">
          <w:pPr>
            <w:pStyle w:val="Encabezado"/>
          </w:pPr>
        </w:p>
        <w:p w14:paraId="0FEAF95F" w14:textId="3F39838D" w:rsidR="00693AB8" w:rsidRDefault="00693AB8" w:rsidP="00693AB8">
          <w:pPr>
            <w:pStyle w:val="Encabezado"/>
            <w:jc w:val="center"/>
          </w:pPr>
          <w:r>
            <w:rPr>
              <w:noProof/>
            </w:rPr>
            <w:drawing>
              <wp:inline distT="0" distB="0" distL="0" distR="0" wp14:anchorId="4CEC5393" wp14:editId="339A3D96">
                <wp:extent cx="817245" cy="701040"/>
                <wp:effectExtent l="0" t="0" r="190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701040"/>
                        </a:xfrm>
                        <a:prstGeom prst="rect">
                          <a:avLst/>
                        </a:prstGeom>
                        <a:noFill/>
                      </pic:spPr>
                    </pic:pic>
                  </a:graphicData>
                </a:graphic>
              </wp:inline>
            </w:drawing>
          </w:r>
        </w:p>
      </w:tc>
      <w:tc>
        <w:tcPr>
          <w:tcW w:w="5677" w:type="dxa"/>
          <w:vMerge w:val="restart"/>
          <w:vAlign w:val="center"/>
        </w:tcPr>
        <w:p w14:paraId="527AD0B2" w14:textId="77777777" w:rsidR="00693AB8" w:rsidRDefault="00693AB8" w:rsidP="00693AB8">
          <w:pPr>
            <w:pStyle w:val="Encabezado"/>
            <w:jc w:val="center"/>
            <w:rPr>
              <w:rFonts w:ascii="Arial Narrow" w:hAnsi="Arial Narrow"/>
              <w:b/>
              <w:sz w:val="22"/>
            </w:rPr>
          </w:pPr>
          <w:r w:rsidRPr="00E835FE">
            <w:rPr>
              <w:rFonts w:ascii="Arial Narrow" w:hAnsi="Arial Narrow"/>
              <w:b/>
              <w:sz w:val="22"/>
            </w:rPr>
            <w:t xml:space="preserve">PROCEDIMIENTO </w:t>
          </w:r>
        </w:p>
        <w:p w14:paraId="77654D14" w14:textId="77777777" w:rsidR="00693AB8" w:rsidRDefault="00693AB8" w:rsidP="00693AB8">
          <w:pPr>
            <w:pStyle w:val="Encabezado"/>
            <w:jc w:val="center"/>
            <w:rPr>
              <w:rFonts w:ascii="Arial Narrow" w:hAnsi="Arial Narrow"/>
              <w:b/>
              <w:sz w:val="22"/>
            </w:rPr>
          </w:pPr>
        </w:p>
        <w:p w14:paraId="446D5B79" w14:textId="4CA52ABC" w:rsidR="00693AB8" w:rsidRPr="0088645B" w:rsidRDefault="00693AB8" w:rsidP="00693AB8">
          <w:pPr>
            <w:pStyle w:val="Encabezado"/>
            <w:jc w:val="center"/>
            <w:rPr>
              <w:rFonts w:ascii="Arial Narrow" w:hAnsi="Arial Narrow"/>
              <w:b/>
              <w:sz w:val="22"/>
            </w:rPr>
          </w:pPr>
          <w:r>
            <w:rPr>
              <w:rFonts w:ascii="Arial Narrow" w:hAnsi="Arial Narrow"/>
              <w:b/>
              <w:sz w:val="22"/>
            </w:rPr>
            <w:t>SELECCIÓN ABREVIADA POR SUBASTA INVERSA</w:t>
          </w:r>
        </w:p>
      </w:tc>
      <w:tc>
        <w:tcPr>
          <w:tcW w:w="2249" w:type="dxa"/>
          <w:vAlign w:val="center"/>
        </w:tcPr>
        <w:p w14:paraId="47E7DA37" w14:textId="54E355FD" w:rsidR="00693AB8" w:rsidRPr="008F6CD3" w:rsidRDefault="00693AB8" w:rsidP="00693AB8">
          <w:pPr>
            <w:pStyle w:val="Encabezado"/>
            <w:rPr>
              <w:rFonts w:ascii="Arial Narrow" w:hAnsi="Arial Narrow"/>
              <w:szCs w:val="20"/>
              <w:highlight w:val="yellow"/>
            </w:rPr>
          </w:pPr>
          <w:r w:rsidRPr="00693AB8">
            <w:rPr>
              <w:rFonts w:ascii="Arial Narrow" w:hAnsi="Arial Narrow"/>
            </w:rPr>
            <w:t xml:space="preserve">Código: </w:t>
          </w:r>
          <w:r w:rsidR="00E00A0D" w:rsidRPr="00E00A0D">
            <w:rPr>
              <w:rFonts w:ascii="Arial Narrow" w:hAnsi="Arial Narrow"/>
            </w:rPr>
            <w:t>A5-PR-07</w:t>
          </w:r>
        </w:p>
      </w:tc>
    </w:tr>
    <w:tr w:rsidR="00693AB8" w14:paraId="40B52156" w14:textId="77777777" w:rsidTr="00693AB8">
      <w:trPr>
        <w:cantSplit/>
        <w:trHeight w:val="567"/>
        <w:tblHeader/>
      </w:trPr>
      <w:tc>
        <w:tcPr>
          <w:tcW w:w="1430" w:type="dxa"/>
          <w:vMerge/>
        </w:tcPr>
        <w:p w14:paraId="18E112CB" w14:textId="77777777" w:rsidR="00693AB8" w:rsidRDefault="00693AB8" w:rsidP="00693AB8">
          <w:pPr>
            <w:pStyle w:val="Encabezado"/>
            <w:rPr>
              <w:lang w:val="en-US"/>
            </w:rPr>
          </w:pPr>
        </w:p>
      </w:tc>
      <w:tc>
        <w:tcPr>
          <w:tcW w:w="5677" w:type="dxa"/>
          <w:vMerge/>
          <w:vAlign w:val="center"/>
        </w:tcPr>
        <w:p w14:paraId="0D9AB464" w14:textId="77777777" w:rsidR="00693AB8" w:rsidRDefault="00693AB8" w:rsidP="00693AB8">
          <w:pPr>
            <w:pStyle w:val="Encabezado"/>
            <w:rPr>
              <w:lang w:val="en-US"/>
            </w:rPr>
          </w:pPr>
        </w:p>
      </w:tc>
      <w:tc>
        <w:tcPr>
          <w:tcW w:w="2249" w:type="dxa"/>
          <w:vAlign w:val="center"/>
        </w:tcPr>
        <w:p w14:paraId="594D39B2" w14:textId="70492333" w:rsidR="00693AB8" w:rsidRPr="008F6CD3" w:rsidRDefault="00693AB8" w:rsidP="00693AB8">
          <w:pPr>
            <w:pStyle w:val="Encabezado"/>
            <w:ind w:left="-94" w:firstLine="94"/>
            <w:rPr>
              <w:rFonts w:ascii="Arial Narrow" w:hAnsi="Arial Narrow"/>
              <w:szCs w:val="20"/>
              <w:highlight w:val="yellow"/>
            </w:rPr>
          </w:pPr>
          <w:r w:rsidRPr="00693AB8">
            <w:rPr>
              <w:rFonts w:ascii="Arial Narrow" w:hAnsi="Arial Narrow"/>
            </w:rPr>
            <w:t xml:space="preserve">Versión: </w:t>
          </w:r>
          <w:r w:rsidR="00E00A0D">
            <w:rPr>
              <w:rFonts w:ascii="Arial Narrow" w:hAnsi="Arial Narrow"/>
            </w:rPr>
            <w:t>1</w:t>
          </w:r>
        </w:p>
      </w:tc>
    </w:tr>
    <w:tr w:rsidR="00693AB8" w14:paraId="61909234" w14:textId="77777777" w:rsidTr="00693AB8">
      <w:trPr>
        <w:cantSplit/>
        <w:trHeight w:val="567"/>
        <w:tblHeader/>
      </w:trPr>
      <w:tc>
        <w:tcPr>
          <w:tcW w:w="1430" w:type="dxa"/>
          <w:vMerge/>
        </w:tcPr>
        <w:p w14:paraId="7FCCBFED" w14:textId="77777777" w:rsidR="00693AB8" w:rsidRDefault="00693AB8" w:rsidP="00693AB8">
          <w:pPr>
            <w:pStyle w:val="Encabezado"/>
          </w:pPr>
        </w:p>
      </w:tc>
      <w:tc>
        <w:tcPr>
          <w:tcW w:w="5677" w:type="dxa"/>
          <w:vMerge/>
          <w:vAlign w:val="center"/>
        </w:tcPr>
        <w:p w14:paraId="6CEBD637" w14:textId="77777777" w:rsidR="00693AB8" w:rsidRDefault="00693AB8" w:rsidP="00693AB8">
          <w:pPr>
            <w:pStyle w:val="Encabezado"/>
          </w:pPr>
        </w:p>
      </w:tc>
      <w:tc>
        <w:tcPr>
          <w:tcW w:w="2249" w:type="dxa"/>
          <w:vAlign w:val="center"/>
        </w:tcPr>
        <w:p w14:paraId="7D89BBDE" w14:textId="091BBC98" w:rsidR="00693AB8" w:rsidRPr="008F6CD3" w:rsidRDefault="00693AB8" w:rsidP="00693AB8">
          <w:pPr>
            <w:pStyle w:val="Encabezado"/>
            <w:rPr>
              <w:rFonts w:ascii="Arial Narrow" w:hAnsi="Arial Narrow"/>
              <w:szCs w:val="20"/>
              <w:highlight w:val="yellow"/>
            </w:rPr>
          </w:pPr>
          <w:r w:rsidRPr="00693AB8">
            <w:rPr>
              <w:rFonts w:ascii="Arial Narrow" w:hAnsi="Arial Narrow"/>
            </w:rPr>
            <w:t xml:space="preserve">Vigente desde: </w:t>
          </w:r>
          <w:r w:rsidR="009B26B3" w:rsidRPr="009B26B3">
            <w:rPr>
              <w:rFonts w:ascii="Arial Narrow" w:hAnsi="Arial Narrow"/>
            </w:rPr>
            <w:t>19/12/2023</w:t>
          </w:r>
        </w:p>
      </w:tc>
    </w:tr>
  </w:tbl>
  <w:p w14:paraId="31F43690" w14:textId="77777777" w:rsidR="00206B01" w:rsidRDefault="00206B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5B1BCE" w14:paraId="1D0DCED3" w14:textId="77777777" w:rsidTr="00905912">
      <w:trPr>
        <w:cantSplit/>
        <w:trHeight w:val="567"/>
        <w:tblHeader/>
      </w:trPr>
      <w:tc>
        <w:tcPr>
          <w:tcW w:w="1418" w:type="dxa"/>
          <w:vMerge w:val="restart"/>
        </w:tcPr>
        <w:p w14:paraId="4DCA175F" w14:textId="77777777" w:rsidR="005B1BCE" w:rsidRDefault="005B1BCE" w:rsidP="00905912">
          <w:pPr>
            <w:pStyle w:val="Encabezado"/>
          </w:pPr>
        </w:p>
        <w:p w14:paraId="5CEF7027" w14:textId="0A151C72" w:rsidR="005B1BCE" w:rsidRDefault="0099165C">
          <w:pPr>
            <w:pStyle w:val="Encabezado"/>
            <w:jc w:val="center"/>
          </w:pPr>
          <w:r>
            <w:rPr>
              <w:noProof/>
            </w:rPr>
            <w:drawing>
              <wp:inline distT="0" distB="0" distL="0" distR="0" wp14:anchorId="66F0F26A" wp14:editId="4490C4C5">
                <wp:extent cx="818882" cy="701899"/>
                <wp:effectExtent l="0" t="0" r="635"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413" cy="708354"/>
                        </a:xfrm>
                        <a:prstGeom prst="rect">
                          <a:avLst/>
                        </a:prstGeom>
                        <a:noFill/>
                      </pic:spPr>
                    </pic:pic>
                  </a:graphicData>
                </a:graphic>
              </wp:inline>
            </w:drawing>
          </w:r>
        </w:p>
      </w:tc>
      <w:tc>
        <w:tcPr>
          <w:tcW w:w="5686" w:type="dxa"/>
          <w:vMerge w:val="restart"/>
          <w:vAlign w:val="center"/>
        </w:tcPr>
        <w:p w14:paraId="690DFFBB" w14:textId="77777777" w:rsidR="0093582A" w:rsidRDefault="004B5D13" w:rsidP="0088645B">
          <w:pPr>
            <w:pStyle w:val="Encabezado"/>
            <w:jc w:val="center"/>
            <w:rPr>
              <w:rFonts w:ascii="Arial Narrow" w:hAnsi="Arial Narrow"/>
              <w:b/>
              <w:sz w:val="22"/>
            </w:rPr>
          </w:pPr>
          <w:r w:rsidRPr="00E835FE">
            <w:rPr>
              <w:rFonts w:ascii="Arial Narrow" w:hAnsi="Arial Narrow"/>
              <w:b/>
              <w:sz w:val="22"/>
            </w:rPr>
            <w:t xml:space="preserve">PROCEDIMIENTO </w:t>
          </w:r>
        </w:p>
        <w:p w14:paraId="1E1E236E" w14:textId="77777777" w:rsidR="0093582A" w:rsidRDefault="0093582A" w:rsidP="0088645B">
          <w:pPr>
            <w:pStyle w:val="Encabezado"/>
            <w:jc w:val="center"/>
            <w:rPr>
              <w:rFonts w:ascii="Arial Narrow" w:hAnsi="Arial Narrow"/>
              <w:b/>
              <w:sz w:val="22"/>
            </w:rPr>
          </w:pPr>
        </w:p>
        <w:p w14:paraId="27D1BF1E" w14:textId="1D02B3CD" w:rsidR="005B1BCE" w:rsidRPr="0088645B" w:rsidRDefault="004B5D13" w:rsidP="0088645B">
          <w:pPr>
            <w:pStyle w:val="Encabezado"/>
            <w:jc w:val="center"/>
            <w:rPr>
              <w:rFonts w:ascii="Arial Narrow" w:hAnsi="Arial Narrow"/>
              <w:b/>
              <w:sz w:val="22"/>
            </w:rPr>
          </w:pPr>
          <w:r>
            <w:rPr>
              <w:rFonts w:ascii="Arial Narrow" w:hAnsi="Arial Narrow"/>
              <w:b/>
              <w:sz w:val="22"/>
            </w:rPr>
            <w:t>SELECCIÓN ABREVIADA</w:t>
          </w:r>
          <w:r w:rsidR="006F0601">
            <w:rPr>
              <w:rFonts w:ascii="Arial Narrow" w:hAnsi="Arial Narrow"/>
              <w:b/>
              <w:sz w:val="22"/>
            </w:rPr>
            <w:t xml:space="preserve"> POR</w:t>
          </w:r>
          <w:r>
            <w:rPr>
              <w:rFonts w:ascii="Arial Narrow" w:hAnsi="Arial Narrow"/>
              <w:b/>
              <w:sz w:val="22"/>
            </w:rPr>
            <w:t xml:space="preserve"> SUBASTA INVERSA</w:t>
          </w:r>
          <w:r w:rsidR="00042FC0">
            <w:rPr>
              <w:rFonts w:ascii="Arial Narrow" w:hAnsi="Arial Narrow"/>
              <w:b/>
              <w:sz w:val="22"/>
            </w:rPr>
            <w:t xml:space="preserve"> ELECTRONICA</w:t>
          </w:r>
        </w:p>
      </w:tc>
      <w:tc>
        <w:tcPr>
          <w:tcW w:w="2252" w:type="dxa"/>
          <w:tcBorders>
            <w:bottom w:val="single" w:sz="4" w:space="0" w:color="auto"/>
          </w:tcBorders>
          <w:vAlign w:val="center"/>
        </w:tcPr>
        <w:p w14:paraId="349D9945" w14:textId="3ED31FAE" w:rsidR="005B1BCE" w:rsidRPr="00693AB8" w:rsidRDefault="005B1BCE">
          <w:pPr>
            <w:pStyle w:val="Encabezado"/>
            <w:rPr>
              <w:rFonts w:ascii="Arial Narrow" w:hAnsi="Arial Narrow"/>
              <w:sz w:val="18"/>
              <w:lang w:val="en-US"/>
            </w:rPr>
          </w:pPr>
          <w:r w:rsidRPr="00693AB8">
            <w:rPr>
              <w:rFonts w:ascii="Arial Narrow" w:hAnsi="Arial Narrow"/>
            </w:rPr>
            <w:t xml:space="preserve">Código: </w:t>
          </w:r>
          <w:r w:rsidR="00E00A0D" w:rsidRPr="00E00A0D">
            <w:rPr>
              <w:rFonts w:ascii="Arial Narrow" w:hAnsi="Arial Narrow"/>
            </w:rPr>
            <w:t>A5-PR-07</w:t>
          </w:r>
        </w:p>
      </w:tc>
    </w:tr>
    <w:tr w:rsidR="005B1BCE" w14:paraId="68F75603" w14:textId="77777777" w:rsidTr="00905912">
      <w:trPr>
        <w:cantSplit/>
        <w:trHeight w:val="567"/>
        <w:tblHeader/>
      </w:trPr>
      <w:tc>
        <w:tcPr>
          <w:tcW w:w="1418" w:type="dxa"/>
          <w:vMerge/>
        </w:tcPr>
        <w:p w14:paraId="35C43790" w14:textId="77777777" w:rsidR="005B1BCE" w:rsidRDefault="005B1BCE">
          <w:pPr>
            <w:pStyle w:val="Encabezado"/>
            <w:rPr>
              <w:lang w:val="en-US"/>
            </w:rPr>
          </w:pPr>
        </w:p>
      </w:tc>
      <w:tc>
        <w:tcPr>
          <w:tcW w:w="5686" w:type="dxa"/>
          <w:vMerge/>
          <w:vAlign w:val="center"/>
        </w:tcPr>
        <w:p w14:paraId="43947105" w14:textId="77777777" w:rsidR="005B1BCE" w:rsidRDefault="005B1BCE">
          <w:pPr>
            <w:pStyle w:val="Encabezado"/>
            <w:rPr>
              <w:lang w:val="en-US"/>
            </w:rPr>
          </w:pPr>
        </w:p>
      </w:tc>
      <w:tc>
        <w:tcPr>
          <w:tcW w:w="2252" w:type="dxa"/>
          <w:tcBorders>
            <w:bottom w:val="single" w:sz="4" w:space="0" w:color="auto"/>
          </w:tcBorders>
          <w:vAlign w:val="center"/>
        </w:tcPr>
        <w:p w14:paraId="30C0A143" w14:textId="11D096DB" w:rsidR="005B1BCE" w:rsidRPr="00693AB8" w:rsidRDefault="005B1BCE" w:rsidP="00905912">
          <w:pPr>
            <w:pStyle w:val="Encabezado"/>
            <w:ind w:left="-94" w:firstLine="94"/>
            <w:rPr>
              <w:rFonts w:ascii="Arial Narrow" w:hAnsi="Arial Narrow"/>
            </w:rPr>
          </w:pPr>
          <w:r w:rsidRPr="00693AB8">
            <w:rPr>
              <w:rFonts w:ascii="Arial Narrow" w:hAnsi="Arial Narrow"/>
            </w:rPr>
            <w:t xml:space="preserve">Versión: </w:t>
          </w:r>
          <w:r w:rsidR="00E00A0D">
            <w:rPr>
              <w:rFonts w:ascii="Arial Narrow" w:hAnsi="Arial Narrow"/>
            </w:rPr>
            <w:t>1</w:t>
          </w:r>
        </w:p>
      </w:tc>
    </w:tr>
    <w:tr w:rsidR="005B1BCE" w14:paraId="0B86CD47" w14:textId="77777777" w:rsidTr="00905912">
      <w:trPr>
        <w:cantSplit/>
        <w:trHeight w:val="567"/>
        <w:tblHeader/>
      </w:trPr>
      <w:tc>
        <w:tcPr>
          <w:tcW w:w="1418" w:type="dxa"/>
          <w:vMerge/>
        </w:tcPr>
        <w:p w14:paraId="73ABA6A6" w14:textId="77777777" w:rsidR="005B1BCE" w:rsidRDefault="005B1BCE">
          <w:pPr>
            <w:pStyle w:val="Encabezado"/>
          </w:pPr>
        </w:p>
      </w:tc>
      <w:tc>
        <w:tcPr>
          <w:tcW w:w="5686" w:type="dxa"/>
          <w:vMerge/>
          <w:vAlign w:val="center"/>
        </w:tcPr>
        <w:p w14:paraId="1B252E49" w14:textId="77777777" w:rsidR="005B1BCE" w:rsidRDefault="005B1BCE">
          <w:pPr>
            <w:pStyle w:val="Encabezado"/>
          </w:pPr>
        </w:p>
      </w:tc>
      <w:tc>
        <w:tcPr>
          <w:tcW w:w="2252" w:type="dxa"/>
          <w:vAlign w:val="center"/>
        </w:tcPr>
        <w:p w14:paraId="7C6D6348" w14:textId="37CF1950" w:rsidR="005B1BCE" w:rsidRPr="00693AB8" w:rsidRDefault="005B1BCE" w:rsidP="00227D5D">
          <w:pPr>
            <w:pStyle w:val="Encabezado"/>
          </w:pPr>
          <w:r w:rsidRPr="00693AB8">
            <w:rPr>
              <w:rFonts w:ascii="Arial Narrow" w:hAnsi="Arial Narrow"/>
            </w:rPr>
            <w:t xml:space="preserve">Vigente desde: </w:t>
          </w:r>
          <w:r w:rsidR="009B26B3" w:rsidRPr="009B26B3">
            <w:rPr>
              <w:rFonts w:ascii="Arial Narrow" w:hAnsi="Arial Narrow"/>
            </w:rPr>
            <w:t>19/12/2023</w:t>
          </w:r>
        </w:p>
      </w:tc>
    </w:tr>
  </w:tbl>
  <w:p w14:paraId="4D7DC3AE" w14:textId="77777777" w:rsidR="005B1BCE" w:rsidRDefault="005B1B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693AB8" w14:paraId="3F39D316" w14:textId="77777777" w:rsidTr="00693AB8">
      <w:trPr>
        <w:cantSplit/>
        <w:trHeight w:val="567"/>
        <w:tblHeader/>
      </w:trPr>
      <w:tc>
        <w:tcPr>
          <w:tcW w:w="1430" w:type="dxa"/>
          <w:vMerge w:val="restart"/>
        </w:tcPr>
        <w:p w14:paraId="211EE157" w14:textId="77777777" w:rsidR="00693AB8" w:rsidRDefault="00693AB8" w:rsidP="00693AB8">
          <w:pPr>
            <w:pStyle w:val="Encabezado"/>
          </w:pPr>
        </w:p>
        <w:p w14:paraId="38B77AFB" w14:textId="77777777" w:rsidR="00693AB8" w:rsidRDefault="00693AB8" w:rsidP="00693AB8">
          <w:pPr>
            <w:pStyle w:val="Encabezado"/>
            <w:jc w:val="center"/>
          </w:pPr>
          <w:r>
            <w:rPr>
              <w:noProof/>
            </w:rPr>
            <w:drawing>
              <wp:inline distT="0" distB="0" distL="0" distR="0" wp14:anchorId="7A20A0CF" wp14:editId="50C6142B">
                <wp:extent cx="817245" cy="701040"/>
                <wp:effectExtent l="0" t="0" r="190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701040"/>
                        </a:xfrm>
                        <a:prstGeom prst="rect">
                          <a:avLst/>
                        </a:prstGeom>
                        <a:noFill/>
                      </pic:spPr>
                    </pic:pic>
                  </a:graphicData>
                </a:graphic>
              </wp:inline>
            </w:drawing>
          </w:r>
        </w:p>
      </w:tc>
      <w:tc>
        <w:tcPr>
          <w:tcW w:w="5677" w:type="dxa"/>
          <w:vMerge w:val="restart"/>
          <w:vAlign w:val="center"/>
        </w:tcPr>
        <w:p w14:paraId="3B1E0949" w14:textId="77777777" w:rsidR="00693AB8" w:rsidRDefault="00693AB8" w:rsidP="00693AB8">
          <w:pPr>
            <w:pStyle w:val="Encabezado"/>
            <w:jc w:val="center"/>
            <w:rPr>
              <w:rFonts w:ascii="Arial Narrow" w:hAnsi="Arial Narrow"/>
              <w:b/>
              <w:sz w:val="22"/>
            </w:rPr>
          </w:pPr>
          <w:r>
            <w:rPr>
              <w:rFonts w:ascii="Arial Narrow" w:hAnsi="Arial Narrow"/>
              <w:b/>
              <w:sz w:val="22"/>
            </w:rPr>
            <w:t xml:space="preserve">ANEXO 1 </w:t>
          </w:r>
        </w:p>
        <w:p w14:paraId="0A570A6B" w14:textId="77777777" w:rsidR="00693AB8" w:rsidRDefault="00693AB8" w:rsidP="00693AB8">
          <w:pPr>
            <w:pStyle w:val="Encabezado"/>
            <w:jc w:val="center"/>
            <w:rPr>
              <w:rFonts w:ascii="Arial Narrow" w:hAnsi="Arial Narrow"/>
              <w:b/>
              <w:sz w:val="22"/>
            </w:rPr>
          </w:pPr>
        </w:p>
        <w:p w14:paraId="0C05C886" w14:textId="483756A1" w:rsidR="00693AB8" w:rsidRPr="0088645B" w:rsidRDefault="00693AB8" w:rsidP="00693AB8">
          <w:pPr>
            <w:pStyle w:val="Encabezado"/>
            <w:jc w:val="center"/>
            <w:rPr>
              <w:rFonts w:ascii="Arial Narrow" w:hAnsi="Arial Narrow"/>
              <w:b/>
              <w:sz w:val="22"/>
            </w:rPr>
          </w:pPr>
          <w:r w:rsidRPr="00E835FE">
            <w:rPr>
              <w:rFonts w:ascii="Arial Narrow" w:hAnsi="Arial Narrow"/>
              <w:b/>
              <w:sz w:val="22"/>
            </w:rPr>
            <w:t xml:space="preserve">PROCEDIMIENTO </w:t>
          </w:r>
          <w:r>
            <w:rPr>
              <w:rFonts w:ascii="Arial Narrow" w:hAnsi="Arial Narrow"/>
              <w:b/>
              <w:sz w:val="22"/>
            </w:rPr>
            <w:t>SELECCIÓN ABREVIADA POR SUBASTA INVERSA</w:t>
          </w:r>
        </w:p>
      </w:tc>
      <w:tc>
        <w:tcPr>
          <w:tcW w:w="2249" w:type="dxa"/>
          <w:vAlign w:val="center"/>
        </w:tcPr>
        <w:p w14:paraId="7DB8B1A1" w14:textId="39A07E7B" w:rsidR="00693AB8" w:rsidRPr="008F6CD3" w:rsidRDefault="00693AB8" w:rsidP="00693AB8">
          <w:pPr>
            <w:pStyle w:val="Encabezado"/>
            <w:rPr>
              <w:rFonts w:ascii="Arial Narrow" w:hAnsi="Arial Narrow"/>
              <w:szCs w:val="20"/>
              <w:highlight w:val="yellow"/>
            </w:rPr>
          </w:pPr>
          <w:r w:rsidRPr="00693AB8">
            <w:rPr>
              <w:rFonts w:ascii="Arial Narrow" w:hAnsi="Arial Narrow"/>
            </w:rPr>
            <w:t xml:space="preserve">Código: </w:t>
          </w:r>
          <w:r w:rsidR="00E00A0D" w:rsidRPr="00E00A0D">
            <w:rPr>
              <w:rFonts w:ascii="Arial Narrow" w:hAnsi="Arial Narrow"/>
            </w:rPr>
            <w:t>A5-PR-07</w:t>
          </w:r>
        </w:p>
      </w:tc>
    </w:tr>
    <w:tr w:rsidR="00693AB8" w14:paraId="3DA101B2" w14:textId="77777777" w:rsidTr="00693AB8">
      <w:trPr>
        <w:cantSplit/>
        <w:trHeight w:val="567"/>
        <w:tblHeader/>
      </w:trPr>
      <w:tc>
        <w:tcPr>
          <w:tcW w:w="1430" w:type="dxa"/>
          <w:vMerge/>
        </w:tcPr>
        <w:p w14:paraId="2863C03F" w14:textId="77777777" w:rsidR="00693AB8" w:rsidRDefault="00693AB8" w:rsidP="00693AB8">
          <w:pPr>
            <w:pStyle w:val="Encabezado"/>
            <w:rPr>
              <w:lang w:val="en-US"/>
            </w:rPr>
          </w:pPr>
        </w:p>
      </w:tc>
      <w:tc>
        <w:tcPr>
          <w:tcW w:w="5677" w:type="dxa"/>
          <w:vMerge/>
          <w:vAlign w:val="center"/>
        </w:tcPr>
        <w:p w14:paraId="15D2EEC8" w14:textId="77777777" w:rsidR="00693AB8" w:rsidRDefault="00693AB8" w:rsidP="00693AB8">
          <w:pPr>
            <w:pStyle w:val="Encabezado"/>
            <w:rPr>
              <w:lang w:val="en-US"/>
            </w:rPr>
          </w:pPr>
        </w:p>
      </w:tc>
      <w:tc>
        <w:tcPr>
          <w:tcW w:w="2249" w:type="dxa"/>
          <w:vAlign w:val="center"/>
        </w:tcPr>
        <w:p w14:paraId="18F19E30" w14:textId="5950AFAD" w:rsidR="00693AB8" w:rsidRPr="008F6CD3" w:rsidRDefault="00693AB8" w:rsidP="00693AB8">
          <w:pPr>
            <w:pStyle w:val="Encabezado"/>
            <w:ind w:left="-94" w:firstLine="94"/>
            <w:rPr>
              <w:rFonts w:ascii="Arial Narrow" w:hAnsi="Arial Narrow"/>
              <w:szCs w:val="20"/>
              <w:highlight w:val="yellow"/>
            </w:rPr>
          </w:pPr>
          <w:r w:rsidRPr="00693AB8">
            <w:rPr>
              <w:rFonts w:ascii="Arial Narrow" w:hAnsi="Arial Narrow"/>
            </w:rPr>
            <w:t xml:space="preserve">Versión: </w:t>
          </w:r>
          <w:r w:rsidR="00E00A0D">
            <w:rPr>
              <w:rFonts w:ascii="Arial Narrow" w:hAnsi="Arial Narrow"/>
            </w:rPr>
            <w:t>1</w:t>
          </w:r>
        </w:p>
      </w:tc>
    </w:tr>
    <w:tr w:rsidR="00693AB8" w14:paraId="3B8C3ACC" w14:textId="77777777" w:rsidTr="00693AB8">
      <w:trPr>
        <w:cantSplit/>
        <w:trHeight w:val="567"/>
        <w:tblHeader/>
      </w:trPr>
      <w:tc>
        <w:tcPr>
          <w:tcW w:w="1430" w:type="dxa"/>
          <w:vMerge/>
        </w:tcPr>
        <w:p w14:paraId="64CAE599" w14:textId="77777777" w:rsidR="00693AB8" w:rsidRDefault="00693AB8" w:rsidP="00693AB8">
          <w:pPr>
            <w:pStyle w:val="Encabezado"/>
          </w:pPr>
        </w:p>
      </w:tc>
      <w:tc>
        <w:tcPr>
          <w:tcW w:w="5677" w:type="dxa"/>
          <w:vMerge/>
          <w:vAlign w:val="center"/>
        </w:tcPr>
        <w:p w14:paraId="56D719EA" w14:textId="77777777" w:rsidR="00693AB8" w:rsidRDefault="00693AB8" w:rsidP="00693AB8">
          <w:pPr>
            <w:pStyle w:val="Encabezado"/>
          </w:pPr>
        </w:p>
      </w:tc>
      <w:tc>
        <w:tcPr>
          <w:tcW w:w="2249" w:type="dxa"/>
          <w:vAlign w:val="center"/>
        </w:tcPr>
        <w:p w14:paraId="3FC4D75C" w14:textId="20EAFD3F" w:rsidR="00693AB8" w:rsidRPr="008F6CD3" w:rsidRDefault="00693AB8" w:rsidP="00693AB8">
          <w:pPr>
            <w:pStyle w:val="Encabezado"/>
            <w:rPr>
              <w:rFonts w:ascii="Arial Narrow" w:hAnsi="Arial Narrow"/>
              <w:szCs w:val="20"/>
              <w:highlight w:val="yellow"/>
            </w:rPr>
          </w:pPr>
          <w:r w:rsidRPr="00693AB8">
            <w:rPr>
              <w:rFonts w:ascii="Arial Narrow" w:hAnsi="Arial Narrow"/>
            </w:rPr>
            <w:t xml:space="preserve">Vigente desde: </w:t>
          </w:r>
          <w:r w:rsidR="009B26B3" w:rsidRPr="009B26B3">
            <w:rPr>
              <w:rFonts w:ascii="Arial Narrow" w:hAnsi="Arial Narrow"/>
            </w:rPr>
            <w:t>19/12/2023</w:t>
          </w:r>
        </w:p>
      </w:tc>
    </w:tr>
  </w:tbl>
  <w:p w14:paraId="0DB88059" w14:textId="77777777" w:rsidR="00D26AA7" w:rsidRDefault="00D26A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8B6515B"/>
    <w:multiLevelType w:val="hybridMultilevel"/>
    <w:tmpl w:val="C90A1440"/>
    <w:lvl w:ilvl="0" w:tplc="10828E40">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03B53"/>
    <w:multiLevelType w:val="multilevel"/>
    <w:tmpl w:val="6E58BFB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4"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6"/>
  </w:num>
  <w:num w:numId="6">
    <w:abstractNumId w:val="15"/>
  </w:num>
  <w:num w:numId="7">
    <w:abstractNumId w:val="13"/>
  </w:num>
  <w:num w:numId="8">
    <w:abstractNumId w:val="8"/>
  </w:num>
  <w:num w:numId="9">
    <w:abstractNumId w:val="4"/>
  </w:num>
  <w:num w:numId="10">
    <w:abstractNumId w:val="12"/>
  </w:num>
  <w:num w:numId="11">
    <w:abstractNumId w:val="1"/>
  </w:num>
  <w:num w:numId="12">
    <w:abstractNumId w:val="0"/>
  </w:num>
  <w:num w:numId="13">
    <w:abstractNumId w:val="10"/>
  </w:num>
  <w:num w:numId="14">
    <w:abstractNumId w:val="7"/>
  </w:num>
  <w:num w:numId="15">
    <w:abstractNumId w:val="7"/>
  </w:num>
  <w:num w:numId="16">
    <w:abstractNumId w:val="7"/>
  </w:num>
  <w:num w:numId="17">
    <w:abstractNumId w:val="2"/>
  </w:num>
  <w:num w:numId="18">
    <w:abstractNumId w:val="7"/>
  </w:num>
  <w:num w:numId="19">
    <w:abstractNumId w:val="11"/>
  </w:num>
  <w:num w:numId="20">
    <w:abstractNumId w:val="7"/>
  </w:num>
  <w:num w:numId="21">
    <w:abstractNumId w:val="7"/>
  </w:num>
  <w:num w:numId="22">
    <w:abstractNumId w:val="11"/>
  </w:num>
  <w:num w:numId="23">
    <w:abstractNumId w:val="7"/>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413F"/>
    <w:rsid w:val="000145F2"/>
    <w:rsid w:val="00014653"/>
    <w:rsid w:val="000158FF"/>
    <w:rsid w:val="00020A6A"/>
    <w:rsid w:val="00020D65"/>
    <w:rsid w:val="00020FA9"/>
    <w:rsid w:val="00022130"/>
    <w:rsid w:val="00022E57"/>
    <w:rsid w:val="00022F51"/>
    <w:rsid w:val="000256AE"/>
    <w:rsid w:val="00026179"/>
    <w:rsid w:val="000263DB"/>
    <w:rsid w:val="0002664B"/>
    <w:rsid w:val="00026A55"/>
    <w:rsid w:val="000272CE"/>
    <w:rsid w:val="000273CB"/>
    <w:rsid w:val="0002743E"/>
    <w:rsid w:val="000313C1"/>
    <w:rsid w:val="000320BB"/>
    <w:rsid w:val="00033A9D"/>
    <w:rsid w:val="00033D0E"/>
    <w:rsid w:val="000348CD"/>
    <w:rsid w:val="00034D30"/>
    <w:rsid w:val="000364F6"/>
    <w:rsid w:val="00036BEC"/>
    <w:rsid w:val="0003727E"/>
    <w:rsid w:val="0003757C"/>
    <w:rsid w:val="000411EA"/>
    <w:rsid w:val="00042D81"/>
    <w:rsid w:val="00042FC0"/>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3AF"/>
    <w:rsid w:val="00067BFD"/>
    <w:rsid w:val="00071E03"/>
    <w:rsid w:val="00072E27"/>
    <w:rsid w:val="000732C5"/>
    <w:rsid w:val="000751B7"/>
    <w:rsid w:val="00075999"/>
    <w:rsid w:val="00076E61"/>
    <w:rsid w:val="00076FD9"/>
    <w:rsid w:val="0008179E"/>
    <w:rsid w:val="00083987"/>
    <w:rsid w:val="00083E9F"/>
    <w:rsid w:val="000848BF"/>
    <w:rsid w:val="00087495"/>
    <w:rsid w:val="00087685"/>
    <w:rsid w:val="00087A69"/>
    <w:rsid w:val="00096BFB"/>
    <w:rsid w:val="000A0020"/>
    <w:rsid w:val="000A640C"/>
    <w:rsid w:val="000A645E"/>
    <w:rsid w:val="000B253F"/>
    <w:rsid w:val="000B3CC4"/>
    <w:rsid w:val="000B60D1"/>
    <w:rsid w:val="000B769E"/>
    <w:rsid w:val="000C1950"/>
    <w:rsid w:val="000C21A4"/>
    <w:rsid w:val="000C2B86"/>
    <w:rsid w:val="000C575D"/>
    <w:rsid w:val="000C7A34"/>
    <w:rsid w:val="000D0132"/>
    <w:rsid w:val="000D0EC8"/>
    <w:rsid w:val="000D1AB2"/>
    <w:rsid w:val="000D21E2"/>
    <w:rsid w:val="000D27FF"/>
    <w:rsid w:val="000D442F"/>
    <w:rsid w:val="000D5070"/>
    <w:rsid w:val="000D5ED8"/>
    <w:rsid w:val="000E066A"/>
    <w:rsid w:val="000E090C"/>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DF3"/>
    <w:rsid w:val="001342B1"/>
    <w:rsid w:val="001349F0"/>
    <w:rsid w:val="0014011D"/>
    <w:rsid w:val="001421E2"/>
    <w:rsid w:val="00142EE8"/>
    <w:rsid w:val="0014349B"/>
    <w:rsid w:val="00146781"/>
    <w:rsid w:val="001468F5"/>
    <w:rsid w:val="001502BF"/>
    <w:rsid w:val="00150A01"/>
    <w:rsid w:val="001510B1"/>
    <w:rsid w:val="001510F3"/>
    <w:rsid w:val="00152C9C"/>
    <w:rsid w:val="001530FB"/>
    <w:rsid w:val="00154AD3"/>
    <w:rsid w:val="00155B75"/>
    <w:rsid w:val="00155F58"/>
    <w:rsid w:val="0015692C"/>
    <w:rsid w:val="00163F49"/>
    <w:rsid w:val="00167DF6"/>
    <w:rsid w:val="001709E7"/>
    <w:rsid w:val="00171318"/>
    <w:rsid w:val="0017303C"/>
    <w:rsid w:val="00173B2D"/>
    <w:rsid w:val="00173C7F"/>
    <w:rsid w:val="001743DD"/>
    <w:rsid w:val="00174634"/>
    <w:rsid w:val="00176D35"/>
    <w:rsid w:val="00177222"/>
    <w:rsid w:val="0017723D"/>
    <w:rsid w:val="00177C60"/>
    <w:rsid w:val="00180665"/>
    <w:rsid w:val="0018156C"/>
    <w:rsid w:val="0018213A"/>
    <w:rsid w:val="00182F32"/>
    <w:rsid w:val="0018439A"/>
    <w:rsid w:val="00186FC1"/>
    <w:rsid w:val="0018782E"/>
    <w:rsid w:val="0019265E"/>
    <w:rsid w:val="001931CD"/>
    <w:rsid w:val="00194CE5"/>
    <w:rsid w:val="001966E6"/>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D001F"/>
    <w:rsid w:val="001D0F94"/>
    <w:rsid w:val="001D1163"/>
    <w:rsid w:val="001D1807"/>
    <w:rsid w:val="001D3B96"/>
    <w:rsid w:val="001D4266"/>
    <w:rsid w:val="001D6D76"/>
    <w:rsid w:val="001E1C61"/>
    <w:rsid w:val="001E2E90"/>
    <w:rsid w:val="001E3840"/>
    <w:rsid w:val="001E3D07"/>
    <w:rsid w:val="001E6A88"/>
    <w:rsid w:val="001F1C89"/>
    <w:rsid w:val="001F40A6"/>
    <w:rsid w:val="001F4AA2"/>
    <w:rsid w:val="001F71D7"/>
    <w:rsid w:val="001F748E"/>
    <w:rsid w:val="001F7E93"/>
    <w:rsid w:val="002006DF"/>
    <w:rsid w:val="00201204"/>
    <w:rsid w:val="00201548"/>
    <w:rsid w:val="00204E40"/>
    <w:rsid w:val="00205482"/>
    <w:rsid w:val="00206B01"/>
    <w:rsid w:val="00212EE0"/>
    <w:rsid w:val="00213428"/>
    <w:rsid w:val="0021408D"/>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607D0"/>
    <w:rsid w:val="002616E7"/>
    <w:rsid w:val="0026360C"/>
    <w:rsid w:val="00263B9D"/>
    <w:rsid w:val="00263D2F"/>
    <w:rsid w:val="00264AAF"/>
    <w:rsid w:val="002652BC"/>
    <w:rsid w:val="002665FE"/>
    <w:rsid w:val="00274A87"/>
    <w:rsid w:val="00275FE9"/>
    <w:rsid w:val="00277542"/>
    <w:rsid w:val="00277A7A"/>
    <w:rsid w:val="002801CC"/>
    <w:rsid w:val="00281DDA"/>
    <w:rsid w:val="002821AD"/>
    <w:rsid w:val="00282C4A"/>
    <w:rsid w:val="00283A67"/>
    <w:rsid w:val="00284F89"/>
    <w:rsid w:val="002879DC"/>
    <w:rsid w:val="00287BA8"/>
    <w:rsid w:val="002909E1"/>
    <w:rsid w:val="00291A19"/>
    <w:rsid w:val="002934A2"/>
    <w:rsid w:val="00296217"/>
    <w:rsid w:val="002A03C4"/>
    <w:rsid w:val="002A13C3"/>
    <w:rsid w:val="002A2754"/>
    <w:rsid w:val="002A29C8"/>
    <w:rsid w:val="002A341B"/>
    <w:rsid w:val="002A432E"/>
    <w:rsid w:val="002A6220"/>
    <w:rsid w:val="002A66D7"/>
    <w:rsid w:val="002B06BE"/>
    <w:rsid w:val="002B18D7"/>
    <w:rsid w:val="002B32A7"/>
    <w:rsid w:val="002B3967"/>
    <w:rsid w:val="002B3A4E"/>
    <w:rsid w:val="002B59D6"/>
    <w:rsid w:val="002B6A92"/>
    <w:rsid w:val="002C4A90"/>
    <w:rsid w:val="002C6437"/>
    <w:rsid w:val="002C65B7"/>
    <w:rsid w:val="002C76A7"/>
    <w:rsid w:val="002C7D45"/>
    <w:rsid w:val="002D0CF4"/>
    <w:rsid w:val="002D0D41"/>
    <w:rsid w:val="002D0F73"/>
    <w:rsid w:val="002D2B5C"/>
    <w:rsid w:val="002D3A55"/>
    <w:rsid w:val="002D4B9C"/>
    <w:rsid w:val="002D5767"/>
    <w:rsid w:val="002E19F1"/>
    <w:rsid w:val="002E31E3"/>
    <w:rsid w:val="002E4B53"/>
    <w:rsid w:val="002E580D"/>
    <w:rsid w:val="002E7825"/>
    <w:rsid w:val="002F14E5"/>
    <w:rsid w:val="002F29AB"/>
    <w:rsid w:val="002F4304"/>
    <w:rsid w:val="002F4DCE"/>
    <w:rsid w:val="002F7132"/>
    <w:rsid w:val="002F7AF3"/>
    <w:rsid w:val="002F7D01"/>
    <w:rsid w:val="00301DE6"/>
    <w:rsid w:val="0030216D"/>
    <w:rsid w:val="00304F9E"/>
    <w:rsid w:val="00306DB4"/>
    <w:rsid w:val="00310DA8"/>
    <w:rsid w:val="00312247"/>
    <w:rsid w:val="003127C1"/>
    <w:rsid w:val="00315E84"/>
    <w:rsid w:val="00317392"/>
    <w:rsid w:val="00323EC5"/>
    <w:rsid w:val="003247F7"/>
    <w:rsid w:val="00324927"/>
    <w:rsid w:val="00324ED4"/>
    <w:rsid w:val="00324F81"/>
    <w:rsid w:val="003256D3"/>
    <w:rsid w:val="00331970"/>
    <w:rsid w:val="003325A9"/>
    <w:rsid w:val="00332FF3"/>
    <w:rsid w:val="003359CA"/>
    <w:rsid w:val="00335A8D"/>
    <w:rsid w:val="00336DC7"/>
    <w:rsid w:val="00337F84"/>
    <w:rsid w:val="00340952"/>
    <w:rsid w:val="003410FE"/>
    <w:rsid w:val="00342960"/>
    <w:rsid w:val="003434D8"/>
    <w:rsid w:val="0034428A"/>
    <w:rsid w:val="003445C6"/>
    <w:rsid w:val="00346102"/>
    <w:rsid w:val="00346AFD"/>
    <w:rsid w:val="00346D37"/>
    <w:rsid w:val="00350838"/>
    <w:rsid w:val="003535A2"/>
    <w:rsid w:val="003552FC"/>
    <w:rsid w:val="0035672D"/>
    <w:rsid w:val="00357899"/>
    <w:rsid w:val="00362B86"/>
    <w:rsid w:val="003644A3"/>
    <w:rsid w:val="0036669C"/>
    <w:rsid w:val="00366D8A"/>
    <w:rsid w:val="00367020"/>
    <w:rsid w:val="0036798B"/>
    <w:rsid w:val="003704D4"/>
    <w:rsid w:val="00370C3D"/>
    <w:rsid w:val="00372B61"/>
    <w:rsid w:val="00372C94"/>
    <w:rsid w:val="00374CF0"/>
    <w:rsid w:val="00376C7C"/>
    <w:rsid w:val="003802B3"/>
    <w:rsid w:val="00381EB7"/>
    <w:rsid w:val="00382B08"/>
    <w:rsid w:val="00384F77"/>
    <w:rsid w:val="00387399"/>
    <w:rsid w:val="00390914"/>
    <w:rsid w:val="00390C91"/>
    <w:rsid w:val="00391356"/>
    <w:rsid w:val="00392558"/>
    <w:rsid w:val="003933C3"/>
    <w:rsid w:val="003933F3"/>
    <w:rsid w:val="003934B5"/>
    <w:rsid w:val="003939A7"/>
    <w:rsid w:val="00394D04"/>
    <w:rsid w:val="00395147"/>
    <w:rsid w:val="00396D0A"/>
    <w:rsid w:val="003976A4"/>
    <w:rsid w:val="003A3187"/>
    <w:rsid w:val="003A31A0"/>
    <w:rsid w:val="003A3C56"/>
    <w:rsid w:val="003A3E3C"/>
    <w:rsid w:val="003A5848"/>
    <w:rsid w:val="003A5D3D"/>
    <w:rsid w:val="003A6826"/>
    <w:rsid w:val="003A795E"/>
    <w:rsid w:val="003B18C3"/>
    <w:rsid w:val="003B21C4"/>
    <w:rsid w:val="003B3694"/>
    <w:rsid w:val="003B4A1B"/>
    <w:rsid w:val="003B595F"/>
    <w:rsid w:val="003B6710"/>
    <w:rsid w:val="003C08AF"/>
    <w:rsid w:val="003C13F8"/>
    <w:rsid w:val="003C1695"/>
    <w:rsid w:val="003C4385"/>
    <w:rsid w:val="003C50F0"/>
    <w:rsid w:val="003C66AB"/>
    <w:rsid w:val="003C72DA"/>
    <w:rsid w:val="003D137C"/>
    <w:rsid w:val="003D2E87"/>
    <w:rsid w:val="003D305A"/>
    <w:rsid w:val="003D4026"/>
    <w:rsid w:val="003D40C4"/>
    <w:rsid w:val="003D41CB"/>
    <w:rsid w:val="003D5EBB"/>
    <w:rsid w:val="003D6CB0"/>
    <w:rsid w:val="003D747C"/>
    <w:rsid w:val="003D7674"/>
    <w:rsid w:val="003D7F01"/>
    <w:rsid w:val="003E0BE1"/>
    <w:rsid w:val="003E0D94"/>
    <w:rsid w:val="003E25FD"/>
    <w:rsid w:val="003E3690"/>
    <w:rsid w:val="003E4FA9"/>
    <w:rsid w:val="003E569C"/>
    <w:rsid w:val="003E63B2"/>
    <w:rsid w:val="003E6562"/>
    <w:rsid w:val="003E701F"/>
    <w:rsid w:val="003E7AC1"/>
    <w:rsid w:val="003F2A6A"/>
    <w:rsid w:val="003F3377"/>
    <w:rsid w:val="003F4EBD"/>
    <w:rsid w:val="003F6682"/>
    <w:rsid w:val="003F7A7D"/>
    <w:rsid w:val="0040280C"/>
    <w:rsid w:val="00403DFA"/>
    <w:rsid w:val="0040622F"/>
    <w:rsid w:val="0040727A"/>
    <w:rsid w:val="00407A4D"/>
    <w:rsid w:val="00412287"/>
    <w:rsid w:val="004135E2"/>
    <w:rsid w:val="0041365F"/>
    <w:rsid w:val="004137B0"/>
    <w:rsid w:val="00417EB0"/>
    <w:rsid w:val="00421396"/>
    <w:rsid w:val="004230CE"/>
    <w:rsid w:val="0042487D"/>
    <w:rsid w:val="00424B32"/>
    <w:rsid w:val="0042584B"/>
    <w:rsid w:val="00431586"/>
    <w:rsid w:val="00437B07"/>
    <w:rsid w:val="004402C4"/>
    <w:rsid w:val="004426EF"/>
    <w:rsid w:val="0045150B"/>
    <w:rsid w:val="00454ED8"/>
    <w:rsid w:val="00454FC8"/>
    <w:rsid w:val="00455411"/>
    <w:rsid w:val="004629CB"/>
    <w:rsid w:val="004663AE"/>
    <w:rsid w:val="00466601"/>
    <w:rsid w:val="00467178"/>
    <w:rsid w:val="00470B57"/>
    <w:rsid w:val="00472AC0"/>
    <w:rsid w:val="00474536"/>
    <w:rsid w:val="00476A3A"/>
    <w:rsid w:val="00477751"/>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3C54"/>
    <w:rsid w:val="004B2362"/>
    <w:rsid w:val="004B38B7"/>
    <w:rsid w:val="004B5D13"/>
    <w:rsid w:val="004B68B6"/>
    <w:rsid w:val="004B7746"/>
    <w:rsid w:val="004C0B9A"/>
    <w:rsid w:val="004C2DE8"/>
    <w:rsid w:val="004C395B"/>
    <w:rsid w:val="004C3D7D"/>
    <w:rsid w:val="004C59AB"/>
    <w:rsid w:val="004C5FD9"/>
    <w:rsid w:val="004C664B"/>
    <w:rsid w:val="004D01A2"/>
    <w:rsid w:val="004D28DF"/>
    <w:rsid w:val="004D6953"/>
    <w:rsid w:val="004D753D"/>
    <w:rsid w:val="004D79BD"/>
    <w:rsid w:val="004D7E4D"/>
    <w:rsid w:val="004E578C"/>
    <w:rsid w:val="004E5C50"/>
    <w:rsid w:val="004E6B10"/>
    <w:rsid w:val="004F125B"/>
    <w:rsid w:val="004F20F6"/>
    <w:rsid w:val="004F6035"/>
    <w:rsid w:val="005004A9"/>
    <w:rsid w:val="00503A1D"/>
    <w:rsid w:val="00503A52"/>
    <w:rsid w:val="00504C03"/>
    <w:rsid w:val="005073DF"/>
    <w:rsid w:val="00507F0D"/>
    <w:rsid w:val="00510199"/>
    <w:rsid w:val="00510775"/>
    <w:rsid w:val="00510D6E"/>
    <w:rsid w:val="005156C5"/>
    <w:rsid w:val="00517147"/>
    <w:rsid w:val="00520C17"/>
    <w:rsid w:val="00520EBD"/>
    <w:rsid w:val="005235A5"/>
    <w:rsid w:val="0052460C"/>
    <w:rsid w:val="00525554"/>
    <w:rsid w:val="0052645D"/>
    <w:rsid w:val="00526D0C"/>
    <w:rsid w:val="00527164"/>
    <w:rsid w:val="00527464"/>
    <w:rsid w:val="0053116E"/>
    <w:rsid w:val="00532B5D"/>
    <w:rsid w:val="00532C59"/>
    <w:rsid w:val="00533B5F"/>
    <w:rsid w:val="00534168"/>
    <w:rsid w:val="00535006"/>
    <w:rsid w:val="00535645"/>
    <w:rsid w:val="0053761B"/>
    <w:rsid w:val="00540FF1"/>
    <w:rsid w:val="00543338"/>
    <w:rsid w:val="00543FE9"/>
    <w:rsid w:val="00544401"/>
    <w:rsid w:val="00545EE7"/>
    <w:rsid w:val="0054713C"/>
    <w:rsid w:val="00547350"/>
    <w:rsid w:val="00550115"/>
    <w:rsid w:val="005503B0"/>
    <w:rsid w:val="005504C3"/>
    <w:rsid w:val="00551EAA"/>
    <w:rsid w:val="0055285F"/>
    <w:rsid w:val="00553021"/>
    <w:rsid w:val="0055397C"/>
    <w:rsid w:val="00554939"/>
    <w:rsid w:val="00555288"/>
    <w:rsid w:val="00556416"/>
    <w:rsid w:val="00561B4F"/>
    <w:rsid w:val="00561E89"/>
    <w:rsid w:val="00564222"/>
    <w:rsid w:val="005674E9"/>
    <w:rsid w:val="00567A84"/>
    <w:rsid w:val="00567AC7"/>
    <w:rsid w:val="005729E9"/>
    <w:rsid w:val="00577619"/>
    <w:rsid w:val="00581504"/>
    <w:rsid w:val="00581AAC"/>
    <w:rsid w:val="005825A8"/>
    <w:rsid w:val="0058346D"/>
    <w:rsid w:val="0058617A"/>
    <w:rsid w:val="0059276A"/>
    <w:rsid w:val="0059701C"/>
    <w:rsid w:val="005A26DD"/>
    <w:rsid w:val="005A2709"/>
    <w:rsid w:val="005A65AD"/>
    <w:rsid w:val="005A6869"/>
    <w:rsid w:val="005A72B7"/>
    <w:rsid w:val="005B0732"/>
    <w:rsid w:val="005B0859"/>
    <w:rsid w:val="005B1802"/>
    <w:rsid w:val="005B1BCE"/>
    <w:rsid w:val="005B24E3"/>
    <w:rsid w:val="005B39F3"/>
    <w:rsid w:val="005B58A9"/>
    <w:rsid w:val="005B5C8D"/>
    <w:rsid w:val="005C0341"/>
    <w:rsid w:val="005C1527"/>
    <w:rsid w:val="005C4208"/>
    <w:rsid w:val="005C6166"/>
    <w:rsid w:val="005C64BD"/>
    <w:rsid w:val="005C73B4"/>
    <w:rsid w:val="005D06EE"/>
    <w:rsid w:val="005D4244"/>
    <w:rsid w:val="005D4D2D"/>
    <w:rsid w:val="005D4EF4"/>
    <w:rsid w:val="005D69C5"/>
    <w:rsid w:val="005D7F5E"/>
    <w:rsid w:val="005E1EF7"/>
    <w:rsid w:val="005E3238"/>
    <w:rsid w:val="005E3D9C"/>
    <w:rsid w:val="005E4A3C"/>
    <w:rsid w:val="005F13B8"/>
    <w:rsid w:val="005F2904"/>
    <w:rsid w:val="005F3F55"/>
    <w:rsid w:val="005F47F9"/>
    <w:rsid w:val="005F5E25"/>
    <w:rsid w:val="005F6CF5"/>
    <w:rsid w:val="00601AEA"/>
    <w:rsid w:val="00601AFD"/>
    <w:rsid w:val="006051A3"/>
    <w:rsid w:val="0060671A"/>
    <w:rsid w:val="00606D94"/>
    <w:rsid w:val="006111FD"/>
    <w:rsid w:val="00611942"/>
    <w:rsid w:val="00611BE7"/>
    <w:rsid w:val="00616037"/>
    <w:rsid w:val="0061631E"/>
    <w:rsid w:val="00616B6D"/>
    <w:rsid w:val="00620DDA"/>
    <w:rsid w:val="00622CC1"/>
    <w:rsid w:val="0062329F"/>
    <w:rsid w:val="00624D87"/>
    <w:rsid w:val="00625DD6"/>
    <w:rsid w:val="00627B22"/>
    <w:rsid w:val="00627C95"/>
    <w:rsid w:val="00630435"/>
    <w:rsid w:val="006327CE"/>
    <w:rsid w:val="00632BCA"/>
    <w:rsid w:val="00633AE7"/>
    <w:rsid w:val="006346E8"/>
    <w:rsid w:val="00634C6F"/>
    <w:rsid w:val="0063513F"/>
    <w:rsid w:val="00640F41"/>
    <w:rsid w:val="00641222"/>
    <w:rsid w:val="00641A85"/>
    <w:rsid w:val="00642C3E"/>
    <w:rsid w:val="00644635"/>
    <w:rsid w:val="006453A3"/>
    <w:rsid w:val="00645405"/>
    <w:rsid w:val="006458AC"/>
    <w:rsid w:val="00646C61"/>
    <w:rsid w:val="00646FB0"/>
    <w:rsid w:val="006552BE"/>
    <w:rsid w:val="00657057"/>
    <w:rsid w:val="00660C1E"/>
    <w:rsid w:val="00661244"/>
    <w:rsid w:val="00663FB1"/>
    <w:rsid w:val="0066527B"/>
    <w:rsid w:val="0066593A"/>
    <w:rsid w:val="0066615A"/>
    <w:rsid w:val="0066626D"/>
    <w:rsid w:val="00667AFB"/>
    <w:rsid w:val="00670F9A"/>
    <w:rsid w:val="00671451"/>
    <w:rsid w:val="00674843"/>
    <w:rsid w:val="00674EFE"/>
    <w:rsid w:val="0067572F"/>
    <w:rsid w:val="00675AFC"/>
    <w:rsid w:val="00676B6B"/>
    <w:rsid w:val="00676CE4"/>
    <w:rsid w:val="006838CD"/>
    <w:rsid w:val="00684276"/>
    <w:rsid w:val="00684F66"/>
    <w:rsid w:val="0068751E"/>
    <w:rsid w:val="00687C47"/>
    <w:rsid w:val="006929E5"/>
    <w:rsid w:val="00693AB8"/>
    <w:rsid w:val="00694D1F"/>
    <w:rsid w:val="00695F50"/>
    <w:rsid w:val="006971C5"/>
    <w:rsid w:val="00697D24"/>
    <w:rsid w:val="006A000D"/>
    <w:rsid w:val="006A00EE"/>
    <w:rsid w:val="006A2994"/>
    <w:rsid w:val="006A2FB4"/>
    <w:rsid w:val="006A3153"/>
    <w:rsid w:val="006A365D"/>
    <w:rsid w:val="006A3795"/>
    <w:rsid w:val="006A45B2"/>
    <w:rsid w:val="006A4AB0"/>
    <w:rsid w:val="006A4F5E"/>
    <w:rsid w:val="006A5FB5"/>
    <w:rsid w:val="006A6A0E"/>
    <w:rsid w:val="006A79BC"/>
    <w:rsid w:val="006A7DC4"/>
    <w:rsid w:val="006B0DD6"/>
    <w:rsid w:val="006B1C27"/>
    <w:rsid w:val="006B2DF9"/>
    <w:rsid w:val="006B3A05"/>
    <w:rsid w:val="006B538A"/>
    <w:rsid w:val="006B59BA"/>
    <w:rsid w:val="006C03CB"/>
    <w:rsid w:val="006C1951"/>
    <w:rsid w:val="006C2C8F"/>
    <w:rsid w:val="006C3A0D"/>
    <w:rsid w:val="006C7727"/>
    <w:rsid w:val="006D0887"/>
    <w:rsid w:val="006D2100"/>
    <w:rsid w:val="006D22D3"/>
    <w:rsid w:val="006D39A0"/>
    <w:rsid w:val="006D5543"/>
    <w:rsid w:val="006D6BE3"/>
    <w:rsid w:val="006D71DE"/>
    <w:rsid w:val="006D77AA"/>
    <w:rsid w:val="006E05BD"/>
    <w:rsid w:val="006E1B2C"/>
    <w:rsid w:val="006E3961"/>
    <w:rsid w:val="006E3E16"/>
    <w:rsid w:val="006E4C3A"/>
    <w:rsid w:val="006E644B"/>
    <w:rsid w:val="006E6704"/>
    <w:rsid w:val="006E6768"/>
    <w:rsid w:val="006E6CFE"/>
    <w:rsid w:val="006F0601"/>
    <w:rsid w:val="006F2D0C"/>
    <w:rsid w:val="006F45AD"/>
    <w:rsid w:val="006F5672"/>
    <w:rsid w:val="00700C48"/>
    <w:rsid w:val="007042E3"/>
    <w:rsid w:val="00706166"/>
    <w:rsid w:val="0071056F"/>
    <w:rsid w:val="00710B41"/>
    <w:rsid w:val="007124F5"/>
    <w:rsid w:val="0071266D"/>
    <w:rsid w:val="00713A8B"/>
    <w:rsid w:val="00714183"/>
    <w:rsid w:val="007142F3"/>
    <w:rsid w:val="00715F3C"/>
    <w:rsid w:val="0071652D"/>
    <w:rsid w:val="007178C1"/>
    <w:rsid w:val="007218C0"/>
    <w:rsid w:val="007221C9"/>
    <w:rsid w:val="00722794"/>
    <w:rsid w:val="00723320"/>
    <w:rsid w:val="00724198"/>
    <w:rsid w:val="00725384"/>
    <w:rsid w:val="00727CDE"/>
    <w:rsid w:val="00730B36"/>
    <w:rsid w:val="0073101E"/>
    <w:rsid w:val="00732A4A"/>
    <w:rsid w:val="00733F26"/>
    <w:rsid w:val="00735F0A"/>
    <w:rsid w:val="0073761B"/>
    <w:rsid w:val="00742086"/>
    <w:rsid w:val="0074294F"/>
    <w:rsid w:val="0074335F"/>
    <w:rsid w:val="00743754"/>
    <w:rsid w:val="0074498B"/>
    <w:rsid w:val="00747FE5"/>
    <w:rsid w:val="00750308"/>
    <w:rsid w:val="0075054A"/>
    <w:rsid w:val="00750B81"/>
    <w:rsid w:val="00752DAA"/>
    <w:rsid w:val="00752FF5"/>
    <w:rsid w:val="00754771"/>
    <w:rsid w:val="00754D40"/>
    <w:rsid w:val="007603E2"/>
    <w:rsid w:val="0076053A"/>
    <w:rsid w:val="00761B4F"/>
    <w:rsid w:val="00764BA3"/>
    <w:rsid w:val="00765647"/>
    <w:rsid w:val="00766824"/>
    <w:rsid w:val="007673C1"/>
    <w:rsid w:val="00770950"/>
    <w:rsid w:val="007723F3"/>
    <w:rsid w:val="007725E4"/>
    <w:rsid w:val="007752F7"/>
    <w:rsid w:val="007803A7"/>
    <w:rsid w:val="00780D56"/>
    <w:rsid w:val="007815E0"/>
    <w:rsid w:val="007822B9"/>
    <w:rsid w:val="00782F13"/>
    <w:rsid w:val="00785C00"/>
    <w:rsid w:val="00787489"/>
    <w:rsid w:val="0078763D"/>
    <w:rsid w:val="0078789A"/>
    <w:rsid w:val="00790E4D"/>
    <w:rsid w:val="007910D4"/>
    <w:rsid w:val="00791EC0"/>
    <w:rsid w:val="00792118"/>
    <w:rsid w:val="00796FBA"/>
    <w:rsid w:val="00797E16"/>
    <w:rsid w:val="007A270E"/>
    <w:rsid w:val="007A3553"/>
    <w:rsid w:val="007A3D2D"/>
    <w:rsid w:val="007A432D"/>
    <w:rsid w:val="007A5023"/>
    <w:rsid w:val="007A6309"/>
    <w:rsid w:val="007A7100"/>
    <w:rsid w:val="007A7DE7"/>
    <w:rsid w:val="007B0259"/>
    <w:rsid w:val="007B050A"/>
    <w:rsid w:val="007B1231"/>
    <w:rsid w:val="007B354F"/>
    <w:rsid w:val="007B3A6E"/>
    <w:rsid w:val="007B3BE4"/>
    <w:rsid w:val="007B5C31"/>
    <w:rsid w:val="007B6658"/>
    <w:rsid w:val="007B7B36"/>
    <w:rsid w:val="007C2823"/>
    <w:rsid w:val="007C427A"/>
    <w:rsid w:val="007C5508"/>
    <w:rsid w:val="007C6BC6"/>
    <w:rsid w:val="007C78EA"/>
    <w:rsid w:val="007D0B56"/>
    <w:rsid w:val="007D0F83"/>
    <w:rsid w:val="007D1167"/>
    <w:rsid w:val="007D12D6"/>
    <w:rsid w:val="007D1973"/>
    <w:rsid w:val="007D1DAD"/>
    <w:rsid w:val="007D21DB"/>
    <w:rsid w:val="007D3AE1"/>
    <w:rsid w:val="007D52BF"/>
    <w:rsid w:val="007E3101"/>
    <w:rsid w:val="007E39B9"/>
    <w:rsid w:val="007E4923"/>
    <w:rsid w:val="007E67ED"/>
    <w:rsid w:val="007F61FF"/>
    <w:rsid w:val="007F652E"/>
    <w:rsid w:val="008007E2"/>
    <w:rsid w:val="00800958"/>
    <w:rsid w:val="00800D3A"/>
    <w:rsid w:val="00803C49"/>
    <w:rsid w:val="008052AE"/>
    <w:rsid w:val="0080798D"/>
    <w:rsid w:val="00807F09"/>
    <w:rsid w:val="00810C53"/>
    <w:rsid w:val="00811386"/>
    <w:rsid w:val="00812DF5"/>
    <w:rsid w:val="0081438B"/>
    <w:rsid w:val="00815041"/>
    <w:rsid w:val="00815C44"/>
    <w:rsid w:val="00817B38"/>
    <w:rsid w:val="00821A13"/>
    <w:rsid w:val="00821B4A"/>
    <w:rsid w:val="008220BA"/>
    <w:rsid w:val="00823F0D"/>
    <w:rsid w:val="0082537F"/>
    <w:rsid w:val="00825A95"/>
    <w:rsid w:val="0083441B"/>
    <w:rsid w:val="00840B1D"/>
    <w:rsid w:val="00841521"/>
    <w:rsid w:val="0084376E"/>
    <w:rsid w:val="00846C2F"/>
    <w:rsid w:val="00847256"/>
    <w:rsid w:val="00852D88"/>
    <w:rsid w:val="008542D3"/>
    <w:rsid w:val="00855CE7"/>
    <w:rsid w:val="0085675B"/>
    <w:rsid w:val="00856D1D"/>
    <w:rsid w:val="008634F0"/>
    <w:rsid w:val="00863F05"/>
    <w:rsid w:val="00864F94"/>
    <w:rsid w:val="00864FD5"/>
    <w:rsid w:val="00871937"/>
    <w:rsid w:val="00872FD6"/>
    <w:rsid w:val="0087382D"/>
    <w:rsid w:val="00875986"/>
    <w:rsid w:val="00876EF1"/>
    <w:rsid w:val="0087736C"/>
    <w:rsid w:val="00881118"/>
    <w:rsid w:val="00885155"/>
    <w:rsid w:val="0088645B"/>
    <w:rsid w:val="00891027"/>
    <w:rsid w:val="00891A14"/>
    <w:rsid w:val="0089344F"/>
    <w:rsid w:val="0089640E"/>
    <w:rsid w:val="00896E9B"/>
    <w:rsid w:val="008A0EAF"/>
    <w:rsid w:val="008A1371"/>
    <w:rsid w:val="008A2347"/>
    <w:rsid w:val="008A25D7"/>
    <w:rsid w:val="008A2C02"/>
    <w:rsid w:val="008A2DF0"/>
    <w:rsid w:val="008A7157"/>
    <w:rsid w:val="008B0E9B"/>
    <w:rsid w:val="008B5274"/>
    <w:rsid w:val="008C50ED"/>
    <w:rsid w:val="008C6088"/>
    <w:rsid w:val="008D1C9C"/>
    <w:rsid w:val="008D42CE"/>
    <w:rsid w:val="008D4640"/>
    <w:rsid w:val="008D4F85"/>
    <w:rsid w:val="008D7479"/>
    <w:rsid w:val="008D7854"/>
    <w:rsid w:val="008D7ED6"/>
    <w:rsid w:val="008E0D44"/>
    <w:rsid w:val="008E1B94"/>
    <w:rsid w:val="008E1D99"/>
    <w:rsid w:val="008E3729"/>
    <w:rsid w:val="008E4151"/>
    <w:rsid w:val="008E421B"/>
    <w:rsid w:val="008E4A61"/>
    <w:rsid w:val="008E55F0"/>
    <w:rsid w:val="008E64D9"/>
    <w:rsid w:val="008E748A"/>
    <w:rsid w:val="008F0C52"/>
    <w:rsid w:val="008F1A62"/>
    <w:rsid w:val="008F21A5"/>
    <w:rsid w:val="008F293C"/>
    <w:rsid w:val="008F2D1D"/>
    <w:rsid w:val="008F2E94"/>
    <w:rsid w:val="008F5BA5"/>
    <w:rsid w:val="008F628C"/>
    <w:rsid w:val="008F6CD3"/>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4285"/>
    <w:rsid w:val="009147F1"/>
    <w:rsid w:val="00914E37"/>
    <w:rsid w:val="009212B8"/>
    <w:rsid w:val="00921A95"/>
    <w:rsid w:val="009248E8"/>
    <w:rsid w:val="00924CCC"/>
    <w:rsid w:val="00925571"/>
    <w:rsid w:val="0092668C"/>
    <w:rsid w:val="009274BF"/>
    <w:rsid w:val="00931D43"/>
    <w:rsid w:val="0093251C"/>
    <w:rsid w:val="0093407D"/>
    <w:rsid w:val="00934FA8"/>
    <w:rsid w:val="009357DA"/>
    <w:rsid w:val="0093582A"/>
    <w:rsid w:val="009374D5"/>
    <w:rsid w:val="00940699"/>
    <w:rsid w:val="00940E4F"/>
    <w:rsid w:val="00941292"/>
    <w:rsid w:val="009415A1"/>
    <w:rsid w:val="00944E90"/>
    <w:rsid w:val="00946BE5"/>
    <w:rsid w:val="009475D0"/>
    <w:rsid w:val="009514B1"/>
    <w:rsid w:val="0095151B"/>
    <w:rsid w:val="00951526"/>
    <w:rsid w:val="00956BBE"/>
    <w:rsid w:val="009601B8"/>
    <w:rsid w:val="009603EA"/>
    <w:rsid w:val="00961198"/>
    <w:rsid w:val="00961D89"/>
    <w:rsid w:val="00962F80"/>
    <w:rsid w:val="00962F99"/>
    <w:rsid w:val="00962FBE"/>
    <w:rsid w:val="009659C3"/>
    <w:rsid w:val="009666FC"/>
    <w:rsid w:val="00970A02"/>
    <w:rsid w:val="009715ED"/>
    <w:rsid w:val="00972079"/>
    <w:rsid w:val="009727B2"/>
    <w:rsid w:val="009738B5"/>
    <w:rsid w:val="00974F4B"/>
    <w:rsid w:val="0097645C"/>
    <w:rsid w:val="009774DD"/>
    <w:rsid w:val="0098016F"/>
    <w:rsid w:val="009806D3"/>
    <w:rsid w:val="00981FCB"/>
    <w:rsid w:val="00985C51"/>
    <w:rsid w:val="00986469"/>
    <w:rsid w:val="00990D01"/>
    <w:rsid w:val="00990E9A"/>
    <w:rsid w:val="0099165C"/>
    <w:rsid w:val="0099366C"/>
    <w:rsid w:val="00993DB8"/>
    <w:rsid w:val="00994CF5"/>
    <w:rsid w:val="00996B78"/>
    <w:rsid w:val="009A01C4"/>
    <w:rsid w:val="009A3554"/>
    <w:rsid w:val="009A3591"/>
    <w:rsid w:val="009A3617"/>
    <w:rsid w:val="009A3C0D"/>
    <w:rsid w:val="009A46E6"/>
    <w:rsid w:val="009B00F2"/>
    <w:rsid w:val="009B1A45"/>
    <w:rsid w:val="009B26B3"/>
    <w:rsid w:val="009B2CFF"/>
    <w:rsid w:val="009B475A"/>
    <w:rsid w:val="009B5C7E"/>
    <w:rsid w:val="009C201A"/>
    <w:rsid w:val="009C2D7D"/>
    <w:rsid w:val="009C36B7"/>
    <w:rsid w:val="009C74AF"/>
    <w:rsid w:val="009D0601"/>
    <w:rsid w:val="009D1BE3"/>
    <w:rsid w:val="009D551D"/>
    <w:rsid w:val="009D6D43"/>
    <w:rsid w:val="009E2025"/>
    <w:rsid w:val="009E2A19"/>
    <w:rsid w:val="009E3B97"/>
    <w:rsid w:val="009E4509"/>
    <w:rsid w:val="009E52F3"/>
    <w:rsid w:val="009E69E2"/>
    <w:rsid w:val="009E6E08"/>
    <w:rsid w:val="009F036D"/>
    <w:rsid w:val="009F0567"/>
    <w:rsid w:val="009F0FEA"/>
    <w:rsid w:val="009F36C6"/>
    <w:rsid w:val="009F42B5"/>
    <w:rsid w:val="009F5F89"/>
    <w:rsid w:val="00A0650B"/>
    <w:rsid w:val="00A152A0"/>
    <w:rsid w:val="00A17099"/>
    <w:rsid w:val="00A1783F"/>
    <w:rsid w:val="00A22E09"/>
    <w:rsid w:val="00A2374B"/>
    <w:rsid w:val="00A238D7"/>
    <w:rsid w:val="00A24F78"/>
    <w:rsid w:val="00A254A4"/>
    <w:rsid w:val="00A3271B"/>
    <w:rsid w:val="00A3334A"/>
    <w:rsid w:val="00A34A89"/>
    <w:rsid w:val="00A35162"/>
    <w:rsid w:val="00A36473"/>
    <w:rsid w:val="00A365A6"/>
    <w:rsid w:val="00A37D41"/>
    <w:rsid w:val="00A4159C"/>
    <w:rsid w:val="00A41FAE"/>
    <w:rsid w:val="00A43E0C"/>
    <w:rsid w:val="00A461C0"/>
    <w:rsid w:val="00A47B9B"/>
    <w:rsid w:val="00A5027B"/>
    <w:rsid w:val="00A56A3F"/>
    <w:rsid w:val="00A57DF4"/>
    <w:rsid w:val="00A60A02"/>
    <w:rsid w:val="00A64842"/>
    <w:rsid w:val="00A649AF"/>
    <w:rsid w:val="00A6562D"/>
    <w:rsid w:val="00A71B6A"/>
    <w:rsid w:val="00A73401"/>
    <w:rsid w:val="00A74192"/>
    <w:rsid w:val="00A74DE7"/>
    <w:rsid w:val="00A765F9"/>
    <w:rsid w:val="00A77503"/>
    <w:rsid w:val="00A77520"/>
    <w:rsid w:val="00A806CE"/>
    <w:rsid w:val="00A8090F"/>
    <w:rsid w:val="00A80A18"/>
    <w:rsid w:val="00A81E52"/>
    <w:rsid w:val="00A82725"/>
    <w:rsid w:val="00A82C6F"/>
    <w:rsid w:val="00A83A70"/>
    <w:rsid w:val="00A84AFD"/>
    <w:rsid w:val="00A85BCE"/>
    <w:rsid w:val="00A862C1"/>
    <w:rsid w:val="00A9100A"/>
    <w:rsid w:val="00A911FB"/>
    <w:rsid w:val="00A92D5C"/>
    <w:rsid w:val="00A93423"/>
    <w:rsid w:val="00A93870"/>
    <w:rsid w:val="00A949D9"/>
    <w:rsid w:val="00A97D80"/>
    <w:rsid w:val="00AA5103"/>
    <w:rsid w:val="00AA5B3C"/>
    <w:rsid w:val="00AA5E86"/>
    <w:rsid w:val="00AA71F7"/>
    <w:rsid w:val="00AB0105"/>
    <w:rsid w:val="00AB080B"/>
    <w:rsid w:val="00AB166B"/>
    <w:rsid w:val="00AB33AC"/>
    <w:rsid w:val="00AB35C6"/>
    <w:rsid w:val="00AB7026"/>
    <w:rsid w:val="00AC0C56"/>
    <w:rsid w:val="00AC1081"/>
    <w:rsid w:val="00AC55B2"/>
    <w:rsid w:val="00AD0A34"/>
    <w:rsid w:val="00AD1818"/>
    <w:rsid w:val="00AD1F5D"/>
    <w:rsid w:val="00AD436A"/>
    <w:rsid w:val="00AD51C6"/>
    <w:rsid w:val="00AD69E8"/>
    <w:rsid w:val="00AD735D"/>
    <w:rsid w:val="00AE0374"/>
    <w:rsid w:val="00AE0D2D"/>
    <w:rsid w:val="00AE44E7"/>
    <w:rsid w:val="00AE489B"/>
    <w:rsid w:val="00AE4DBD"/>
    <w:rsid w:val="00AE7ACB"/>
    <w:rsid w:val="00AF1404"/>
    <w:rsid w:val="00AF305E"/>
    <w:rsid w:val="00AF454E"/>
    <w:rsid w:val="00AF5BE0"/>
    <w:rsid w:val="00AF6792"/>
    <w:rsid w:val="00AF7466"/>
    <w:rsid w:val="00AF7A01"/>
    <w:rsid w:val="00B005BC"/>
    <w:rsid w:val="00B0214D"/>
    <w:rsid w:val="00B0368A"/>
    <w:rsid w:val="00B04AFE"/>
    <w:rsid w:val="00B050A1"/>
    <w:rsid w:val="00B07290"/>
    <w:rsid w:val="00B1037E"/>
    <w:rsid w:val="00B113EA"/>
    <w:rsid w:val="00B11433"/>
    <w:rsid w:val="00B12F7C"/>
    <w:rsid w:val="00B13195"/>
    <w:rsid w:val="00B13616"/>
    <w:rsid w:val="00B1538B"/>
    <w:rsid w:val="00B1753D"/>
    <w:rsid w:val="00B22E4F"/>
    <w:rsid w:val="00B27895"/>
    <w:rsid w:val="00B27D76"/>
    <w:rsid w:val="00B3087C"/>
    <w:rsid w:val="00B310B9"/>
    <w:rsid w:val="00B3444E"/>
    <w:rsid w:val="00B347BA"/>
    <w:rsid w:val="00B34D9C"/>
    <w:rsid w:val="00B3579D"/>
    <w:rsid w:val="00B36FFA"/>
    <w:rsid w:val="00B37737"/>
    <w:rsid w:val="00B44253"/>
    <w:rsid w:val="00B4430C"/>
    <w:rsid w:val="00B46CEC"/>
    <w:rsid w:val="00B507F7"/>
    <w:rsid w:val="00B53F4E"/>
    <w:rsid w:val="00B546CF"/>
    <w:rsid w:val="00B61B4A"/>
    <w:rsid w:val="00B62F6C"/>
    <w:rsid w:val="00B6423E"/>
    <w:rsid w:val="00B654AE"/>
    <w:rsid w:val="00B66291"/>
    <w:rsid w:val="00B66B34"/>
    <w:rsid w:val="00B7101C"/>
    <w:rsid w:val="00B71C67"/>
    <w:rsid w:val="00B72369"/>
    <w:rsid w:val="00B72835"/>
    <w:rsid w:val="00B7382E"/>
    <w:rsid w:val="00B75C8C"/>
    <w:rsid w:val="00B75CBE"/>
    <w:rsid w:val="00B80A23"/>
    <w:rsid w:val="00B81F39"/>
    <w:rsid w:val="00B85077"/>
    <w:rsid w:val="00B861D2"/>
    <w:rsid w:val="00B86B36"/>
    <w:rsid w:val="00B87F44"/>
    <w:rsid w:val="00B91C20"/>
    <w:rsid w:val="00B91EC5"/>
    <w:rsid w:val="00B92770"/>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4264"/>
    <w:rsid w:val="00BE50F6"/>
    <w:rsid w:val="00BE58E8"/>
    <w:rsid w:val="00BE5DF4"/>
    <w:rsid w:val="00BE6326"/>
    <w:rsid w:val="00BE6B0D"/>
    <w:rsid w:val="00BE78F9"/>
    <w:rsid w:val="00BF1272"/>
    <w:rsid w:val="00BF305A"/>
    <w:rsid w:val="00BF3DCF"/>
    <w:rsid w:val="00BF42C6"/>
    <w:rsid w:val="00BF5308"/>
    <w:rsid w:val="00BF5A8D"/>
    <w:rsid w:val="00C00880"/>
    <w:rsid w:val="00C04C5C"/>
    <w:rsid w:val="00C0627B"/>
    <w:rsid w:val="00C065A6"/>
    <w:rsid w:val="00C07538"/>
    <w:rsid w:val="00C10E24"/>
    <w:rsid w:val="00C11B3F"/>
    <w:rsid w:val="00C11E1B"/>
    <w:rsid w:val="00C125D1"/>
    <w:rsid w:val="00C14578"/>
    <w:rsid w:val="00C153A1"/>
    <w:rsid w:val="00C1677B"/>
    <w:rsid w:val="00C2083C"/>
    <w:rsid w:val="00C21100"/>
    <w:rsid w:val="00C22B2F"/>
    <w:rsid w:val="00C2371E"/>
    <w:rsid w:val="00C24718"/>
    <w:rsid w:val="00C2504F"/>
    <w:rsid w:val="00C2510D"/>
    <w:rsid w:val="00C30CA8"/>
    <w:rsid w:val="00C3124A"/>
    <w:rsid w:val="00C33B03"/>
    <w:rsid w:val="00C34B64"/>
    <w:rsid w:val="00C34D86"/>
    <w:rsid w:val="00C35892"/>
    <w:rsid w:val="00C364CD"/>
    <w:rsid w:val="00C36DB4"/>
    <w:rsid w:val="00C4136A"/>
    <w:rsid w:val="00C42FFC"/>
    <w:rsid w:val="00C461AD"/>
    <w:rsid w:val="00C464E4"/>
    <w:rsid w:val="00C47FCB"/>
    <w:rsid w:val="00C527C4"/>
    <w:rsid w:val="00C52D44"/>
    <w:rsid w:val="00C56FDC"/>
    <w:rsid w:val="00C576DC"/>
    <w:rsid w:val="00C57732"/>
    <w:rsid w:val="00C57D0C"/>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55B"/>
    <w:rsid w:val="00C83B7B"/>
    <w:rsid w:val="00C849ED"/>
    <w:rsid w:val="00C853CB"/>
    <w:rsid w:val="00C856B2"/>
    <w:rsid w:val="00C86BDC"/>
    <w:rsid w:val="00C878C8"/>
    <w:rsid w:val="00C90372"/>
    <w:rsid w:val="00C90ED8"/>
    <w:rsid w:val="00C91809"/>
    <w:rsid w:val="00C92F28"/>
    <w:rsid w:val="00C95BEF"/>
    <w:rsid w:val="00C96342"/>
    <w:rsid w:val="00C965FD"/>
    <w:rsid w:val="00C97291"/>
    <w:rsid w:val="00CA027B"/>
    <w:rsid w:val="00CA097D"/>
    <w:rsid w:val="00CA0F79"/>
    <w:rsid w:val="00CA1C4B"/>
    <w:rsid w:val="00CA1D6C"/>
    <w:rsid w:val="00CA2F3B"/>
    <w:rsid w:val="00CA366C"/>
    <w:rsid w:val="00CA3AAE"/>
    <w:rsid w:val="00CA6933"/>
    <w:rsid w:val="00CA7CA1"/>
    <w:rsid w:val="00CB0E24"/>
    <w:rsid w:val="00CB1114"/>
    <w:rsid w:val="00CB1BCA"/>
    <w:rsid w:val="00CB24DD"/>
    <w:rsid w:val="00CB3F8B"/>
    <w:rsid w:val="00CC3742"/>
    <w:rsid w:val="00CC4B5E"/>
    <w:rsid w:val="00CC514A"/>
    <w:rsid w:val="00CD1391"/>
    <w:rsid w:val="00CD3481"/>
    <w:rsid w:val="00CD34E7"/>
    <w:rsid w:val="00CD5447"/>
    <w:rsid w:val="00CD5B78"/>
    <w:rsid w:val="00CD78A4"/>
    <w:rsid w:val="00CD7BD5"/>
    <w:rsid w:val="00CE100D"/>
    <w:rsid w:val="00CE2993"/>
    <w:rsid w:val="00CE3330"/>
    <w:rsid w:val="00CE443F"/>
    <w:rsid w:val="00CE4A50"/>
    <w:rsid w:val="00CE5982"/>
    <w:rsid w:val="00CF1071"/>
    <w:rsid w:val="00CF173F"/>
    <w:rsid w:val="00CF551B"/>
    <w:rsid w:val="00CF70A4"/>
    <w:rsid w:val="00D000F9"/>
    <w:rsid w:val="00D00156"/>
    <w:rsid w:val="00D01DED"/>
    <w:rsid w:val="00D054CA"/>
    <w:rsid w:val="00D05554"/>
    <w:rsid w:val="00D0788C"/>
    <w:rsid w:val="00D1341F"/>
    <w:rsid w:val="00D1572A"/>
    <w:rsid w:val="00D15CE1"/>
    <w:rsid w:val="00D22210"/>
    <w:rsid w:val="00D23776"/>
    <w:rsid w:val="00D260AE"/>
    <w:rsid w:val="00D26AA7"/>
    <w:rsid w:val="00D26D40"/>
    <w:rsid w:val="00D30224"/>
    <w:rsid w:val="00D31DC3"/>
    <w:rsid w:val="00D32832"/>
    <w:rsid w:val="00D34374"/>
    <w:rsid w:val="00D35471"/>
    <w:rsid w:val="00D408AF"/>
    <w:rsid w:val="00D40B59"/>
    <w:rsid w:val="00D40F79"/>
    <w:rsid w:val="00D42668"/>
    <w:rsid w:val="00D43385"/>
    <w:rsid w:val="00D464F4"/>
    <w:rsid w:val="00D5267E"/>
    <w:rsid w:val="00D52E14"/>
    <w:rsid w:val="00D54660"/>
    <w:rsid w:val="00D54C79"/>
    <w:rsid w:val="00D5500F"/>
    <w:rsid w:val="00D56236"/>
    <w:rsid w:val="00D568F7"/>
    <w:rsid w:val="00D5715A"/>
    <w:rsid w:val="00D60816"/>
    <w:rsid w:val="00D61E49"/>
    <w:rsid w:val="00D61E9C"/>
    <w:rsid w:val="00D6314A"/>
    <w:rsid w:val="00D64C60"/>
    <w:rsid w:val="00D667C9"/>
    <w:rsid w:val="00D744F8"/>
    <w:rsid w:val="00D74A12"/>
    <w:rsid w:val="00D752B0"/>
    <w:rsid w:val="00D756C7"/>
    <w:rsid w:val="00D75A0D"/>
    <w:rsid w:val="00D77654"/>
    <w:rsid w:val="00D8141A"/>
    <w:rsid w:val="00D81CAC"/>
    <w:rsid w:val="00D833F0"/>
    <w:rsid w:val="00D858A9"/>
    <w:rsid w:val="00D85E08"/>
    <w:rsid w:val="00D86B09"/>
    <w:rsid w:val="00D86E39"/>
    <w:rsid w:val="00D87423"/>
    <w:rsid w:val="00D90E03"/>
    <w:rsid w:val="00D91E6B"/>
    <w:rsid w:val="00D9237C"/>
    <w:rsid w:val="00D93149"/>
    <w:rsid w:val="00D94B7C"/>
    <w:rsid w:val="00D97B85"/>
    <w:rsid w:val="00DA0D9D"/>
    <w:rsid w:val="00DA410D"/>
    <w:rsid w:val="00DA52B9"/>
    <w:rsid w:val="00DA5A36"/>
    <w:rsid w:val="00DA7922"/>
    <w:rsid w:val="00DB143D"/>
    <w:rsid w:val="00DB37A6"/>
    <w:rsid w:val="00DB5A3E"/>
    <w:rsid w:val="00DC038A"/>
    <w:rsid w:val="00DC1D72"/>
    <w:rsid w:val="00DC3717"/>
    <w:rsid w:val="00DC52A2"/>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0A0D"/>
    <w:rsid w:val="00E01E6C"/>
    <w:rsid w:val="00E01F68"/>
    <w:rsid w:val="00E023BA"/>
    <w:rsid w:val="00E027A3"/>
    <w:rsid w:val="00E0316F"/>
    <w:rsid w:val="00E0409B"/>
    <w:rsid w:val="00E04C8A"/>
    <w:rsid w:val="00E063C1"/>
    <w:rsid w:val="00E10432"/>
    <w:rsid w:val="00E10E4E"/>
    <w:rsid w:val="00E11120"/>
    <w:rsid w:val="00E1259A"/>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4785"/>
    <w:rsid w:val="00E46383"/>
    <w:rsid w:val="00E463AD"/>
    <w:rsid w:val="00E50345"/>
    <w:rsid w:val="00E508C9"/>
    <w:rsid w:val="00E50E8D"/>
    <w:rsid w:val="00E52BC4"/>
    <w:rsid w:val="00E5574D"/>
    <w:rsid w:val="00E56C61"/>
    <w:rsid w:val="00E57CE5"/>
    <w:rsid w:val="00E57FA5"/>
    <w:rsid w:val="00E60576"/>
    <w:rsid w:val="00E6257F"/>
    <w:rsid w:val="00E643B9"/>
    <w:rsid w:val="00E65D29"/>
    <w:rsid w:val="00E67278"/>
    <w:rsid w:val="00E703DA"/>
    <w:rsid w:val="00E71523"/>
    <w:rsid w:val="00E73A08"/>
    <w:rsid w:val="00E7456A"/>
    <w:rsid w:val="00E7549B"/>
    <w:rsid w:val="00E76D66"/>
    <w:rsid w:val="00E77AE0"/>
    <w:rsid w:val="00E77C46"/>
    <w:rsid w:val="00E80E63"/>
    <w:rsid w:val="00E816BB"/>
    <w:rsid w:val="00E81A85"/>
    <w:rsid w:val="00E835FE"/>
    <w:rsid w:val="00E83C8D"/>
    <w:rsid w:val="00E8544B"/>
    <w:rsid w:val="00E86237"/>
    <w:rsid w:val="00E864DD"/>
    <w:rsid w:val="00E86C39"/>
    <w:rsid w:val="00E874DE"/>
    <w:rsid w:val="00E9025E"/>
    <w:rsid w:val="00E9068E"/>
    <w:rsid w:val="00E92E1F"/>
    <w:rsid w:val="00E9401C"/>
    <w:rsid w:val="00E947A5"/>
    <w:rsid w:val="00E94C85"/>
    <w:rsid w:val="00EA1682"/>
    <w:rsid w:val="00EA4A57"/>
    <w:rsid w:val="00EA6072"/>
    <w:rsid w:val="00EA68D8"/>
    <w:rsid w:val="00EB1427"/>
    <w:rsid w:val="00EB1C6B"/>
    <w:rsid w:val="00EB2162"/>
    <w:rsid w:val="00EB36C5"/>
    <w:rsid w:val="00EB6160"/>
    <w:rsid w:val="00EB6E5F"/>
    <w:rsid w:val="00EC18C5"/>
    <w:rsid w:val="00EC294F"/>
    <w:rsid w:val="00EC3873"/>
    <w:rsid w:val="00EC4074"/>
    <w:rsid w:val="00EC5523"/>
    <w:rsid w:val="00EC729A"/>
    <w:rsid w:val="00ED3589"/>
    <w:rsid w:val="00EE20A5"/>
    <w:rsid w:val="00EE2D87"/>
    <w:rsid w:val="00EE5A18"/>
    <w:rsid w:val="00EE5FB6"/>
    <w:rsid w:val="00EE6146"/>
    <w:rsid w:val="00EE69BD"/>
    <w:rsid w:val="00EF06C2"/>
    <w:rsid w:val="00EF070B"/>
    <w:rsid w:val="00EF1C7B"/>
    <w:rsid w:val="00EF2268"/>
    <w:rsid w:val="00EF3494"/>
    <w:rsid w:val="00EF36A5"/>
    <w:rsid w:val="00EF3A09"/>
    <w:rsid w:val="00EF4473"/>
    <w:rsid w:val="00EF58EF"/>
    <w:rsid w:val="00EF595A"/>
    <w:rsid w:val="00EF69F3"/>
    <w:rsid w:val="00EF7F19"/>
    <w:rsid w:val="00F0118D"/>
    <w:rsid w:val="00F027DE"/>
    <w:rsid w:val="00F02902"/>
    <w:rsid w:val="00F02CF2"/>
    <w:rsid w:val="00F02D19"/>
    <w:rsid w:val="00F069FC"/>
    <w:rsid w:val="00F0713E"/>
    <w:rsid w:val="00F07FAE"/>
    <w:rsid w:val="00F07FCC"/>
    <w:rsid w:val="00F10825"/>
    <w:rsid w:val="00F119FC"/>
    <w:rsid w:val="00F12108"/>
    <w:rsid w:val="00F140C2"/>
    <w:rsid w:val="00F1446D"/>
    <w:rsid w:val="00F14F16"/>
    <w:rsid w:val="00F15063"/>
    <w:rsid w:val="00F1511E"/>
    <w:rsid w:val="00F17E80"/>
    <w:rsid w:val="00F21146"/>
    <w:rsid w:val="00F23501"/>
    <w:rsid w:val="00F23B8C"/>
    <w:rsid w:val="00F26238"/>
    <w:rsid w:val="00F305FD"/>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347A"/>
    <w:rsid w:val="00F545A3"/>
    <w:rsid w:val="00F54D6B"/>
    <w:rsid w:val="00F556E7"/>
    <w:rsid w:val="00F5757B"/>
    <w:rsid w:val="00F61052"/>
    <w:rsid w:val="00F66EB5"/>
    <w:rsid w:val="00F71127"/>
    <w:rsid w:val="00F72F68"/>
    <w:rsid w:val="00F73053"/>
    <w:rsid w:val="00F7322D"/>
    <w:rsid w:val="00F74361"/>
    <w:rsid w:val="00F7626F"/>
    <w:rsid w:val="00F768AD"/>
    <w:rsid w:val="00F772DE"/>
    <w:rsid w:val="00F81813"/>
    <w:rsid w:val="00F856B5"/>
    <w:rsid w:val="00F9256C"/>
    <w:rsid w:val="00F93A79"/>
    <w:rsid w:val="00F940A1"/>
    <w:rsid w:val="00F94547"/>
    <w:rsid w:val="00F947B4"/>
    <w:rsid w:val="00F961A7"/>
    <w:rsid w:val="00FA076F"/>
    <w:rsid w:val="00FA089A"/>
    <w:rsid w:val="00FA08AC"/>
    <w:rsid w:val="00FA16C2"/>
    <w:rsid w:val="00FA1924"/>
    <w:rsid w:val="00FA23EC"/>
    <w:rsid w:val="00FA4BA9"/>
    <w:rsid w:val="00FB0356"/>
    <w:rsid w:val="00FB1099"/>
    <w:rsid w:val="00FB611A"/>
    <w:rsid w:val="00FB772A"/>
    <w:rsid w:val="00FB7D42"/>
    <w:rsid w:val="00FC0D5C"/>
    <w:rsid w:val="00FC0FC8"/>
    <w:rsid w:val="00FC179D"/>
    <w:rsid w:val="00FC4037"/>
    <w:rsid w:val="00FC4EF4"/>
    <w:rsid w:val="00FC5A0A"/>
    <w:rsid w:val="00FC74FF"/>
    <w:rsid w:val="00FC7E85"/>
    <w:rsid w:val="00FD0530"/>
    <w:rsid w:val="00FD0BDD"/>
    <w:rsid w:val="00FD4B59"/>
    <w:rsid w:val="00FD4FA9"/>
    <w:rsid w:val="00FD544B"/>
    <w:rsid w:val="00FE0427"/>
    <w:rsid w:val="00FE085B"/>
    <w:rsid w:val="00FE178B"/>
    <w:rsid w:val="00FE197C"/>
    <w:rsid w:val="00FE2DB4"/>
    <w:rsid w:val="00FE63F2"/>
    <w:rsid w:val="00FE680D"/>
    <w:rsid w:val="00FE6942"/>
    <w:rsid w:val="00FE70D1"/>
    <w:rsid w:val="00FE799C"/>
    <w:rsid w:val="00FF1585"/>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PiedepginaCar">
    <w:name w:val="Pie de página Car"/>
    <w:basedOn w:val="Fuentedeprrafopredeter"/>
    <w:link w:val="Piedepgina"/>
    <w:uiPriority w:val="99"/>
    <w:rsid w:val="00D26AA7"/>
    <w:rPr>
      <w:rFonts w:ascii="Arial" w:hAnsi="Arial" w:cs="Arial"/>
      <w:sz w:val="22"/>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440421613">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64640374">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222399212">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739011600">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43738132">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4FCB-15B5-4C71-AC5C-BB5ACA1A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2897</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18795</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SINDRY JANETH AHUMADA MARTINEZ</cp:lastModifiedBy>
  <cp:revision>7</cp:revision>
  <cp:lastPrinted>2017-07-04T19:52:00Z</cp:lastPrinted>
  <dcterms:created xsi:type="dcterms:W3CDTF">2022-12-29T23:38:00Z</dcterms:created>
  <dcterms:modified xsi:type="dcterms:W3CDTF">2023-12-11T15:47:00Z</dcterms:modified>
</cp:coreProperties>
</file>