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0620717A" w:rsidR="002F4304" w:rsidRPr="00E835FE" w:rsidRDefault="00F377BF" w:rsidP="00F377BF">
      <w:pPr>
        <w:pStyle w:val="TDC3"/>
        <w:tabs>
          <w:tab w:val="clear" w:pos="9061"/>
          <w:tab w:val="left" w:pos="6030"/>
          <w:tab w:val="left" w:pos="6390"/>
        </w:tabs>
        <w:jc w:val="left"/>
      </w:pPr>
      <w:r>
        <w:tab/>
      </w:r>
      <w:r>
        <w:tab/>
      </w:r>
      <w:r>
        <w:tab/>
      </w:r>
      <w:bookmarkStart w:id="0" w:name="_GoBack"/>
      <w:bookmarkEnd w:id="0"/>
    </w:p>
    <w:p w14:paraId="4671C33B" w14:textId="77777777" w:rsidR="00F404F2" w:rsidRPr="00E835FE" w:rsidRDefault="00F404F2" w:rsidP="00A97D80">
      <w:pPr>
        <w:pStyle w:val="TDC3"/>
      </w:pPr>
      <w:r w:rsidRPr="00E835FE">
        <w:t>TABLA DE CONTENIDO</w:t>
      </w:r>
    </w:p>
    <w:p w14:paraId="155B765E" w14:textId="77777777" w:rsidR="00B94D6F" w:rsidRPr="00E835FE" w:rsidRDefault="00B94D6F" w:rsidP="00B94D6F">
      <w:pPr>
        <w:rPr>
          <w:rFonts w:ascii="Arial Narrow" w:hAnsi="Arial Narrow"/>
          <w:sz w:val="22"/>
          <w:szCs w:val="22"/>
        </w:rPr>
      </w:pP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44CB5DF7" w14:textId="50724026" w:rsidR="00026A55" w:rsidRPr="005235A5" w:rsidRDefault="00F404F2" w:rsidP="00026A55">
      <w:pPr>
        <w:pStyle w:val="TDC3"/>
        <w:spacing w:before="120" w:after="120"/>
        <w:rPr>
          <w:rFonts w:ascii="Calibri" w:hAnsi="Calibri" w:cs="Times New Roman"/>
          <w:b w:val="0"/>
          <w:bCs w:val="0"/>
          <w:noProof/>
          <w:lang w:val="es-CO" w:eastAsia="es-CO"/>
        </w:rPr>
      </w:pPr>
      <w:r w:rsidRPr="00026A55">
        <w:rPr>
          <w:b w:val="0"/>
          <w:bCs w:val="0"/>
        </w:rPr>
        <w:fldChar w:fldCharType="begin"/>
      </w:r>
      <w:r w:rsidRPr="00026A55">
        <w:rPr>
          <w:b w:val="0"/>
          <w:bCs w:val="0"/>
        </w:rPr>
        <w:instrText xml:space="preserve"> </w:instrText>
      </w:r>
      <w:r w:rsidR="00EE5FB6" w:rsidRPr="00026A55">
        <w:rPr>
          <w:b w:val="0"/>
          <w:bCs w:val="0"/>
        </w:rPr>
        <w:instrText>TOC</w:instrText>
      </w:r>
      <w:r w:rsidRPr="00026A55">
        <w:rPr>
          <w:b w:val="0"/>
          <w:bCs w:val="0"/>
        </w:rPr>
        <w:instrText xml:space="preserve"> \o "1-3" \h \z </w:instrText>
      </w:r>
      <w:r w:rsidRPr="00026A55">
        <w:rPr>
          <w:b w:val="0"/>
          <w:bCs w:val="0"/>
        </w:rPr>
        <w:fldChar w:fldCharType="separate"/>
      </w:r>
      <w:hyperlink w:anchor="_Toc32778300" w:history="1">
        <w:r w:rsidR="00026A55" w:rsidRPr="00026A55">
          <w:rPr>
            <w:rStyle w:val="Hipervnculo"/>
            <w:b w:val="0"/>
            <w:bCs w:val="0"/>
            <w:noProof/>
          </w:rPr>
          <w:t>1.</w:t>
        </w:r>
        <w:r w:rsidR="00026A55" w:rsidRPr="005235A5">
          <w:rPr>
            <w:rFonts w:ascii="Calibri" w:hAnsi="Calibri" w:cs="Times New Roman"/>
            <w:b w:val="0"/>
            <w:bCs w:val="0"/>
            <w:noProof/>
            <w:lang w:val="es-CO" w:eastAsia="es-CO"/>
          </w:rPr>
          <w:tab/>
        </w:r>
        <w:r w:rsidR="00026A55" w:rsidRPr="00026A55">
          <w:rPr>
            <w:rStyle w:val="Hipervnculo"/>
            <w:b w:val="0"/>
            <w:bCs w:val="0"/>
            <w:noProof/>
          </w:rPr>
          <w:t>OBJETIVO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_Toc32778300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2</w:t>
        </w:r>
        <w:r w:rsidR="00026A55" w:rsidRPr="00026A55">
          <w:rPr>
            <w:b w:val="0"/>
            <w:bCs w:val="0"/>
            <w:noProof/>
            <w:webHidden/>
          </w:rPr>
          <w:fldChar w:fldCharType="end"/>
        </w:r>
      </w:hyperlink>
    </w:p>
    <w:p w14:paraId="48E0B4A8" w14:textId="08AD9886" w:rsidR="00026A55" w:rsidRPr="005235A5" w:rsidRDefault="000859CC" w:rsidP="00026A55">
      <w:pPr>
        <w:pStyle w:val="TDC3"/>
        <w:spacing w:before="120" w:after="120"/>
        <w:rPr>
          <w:rFonts w:ascii="Calibri" w:hAnsi="Calibri" w:cs="Times New Roman"/>
          <w:b w:val="0"/>
          <w:bCs w:val="0"/>
          <w:noProof/>
          <w:lang w:val="es-CO" w:eastAsia="es-CO"/>
        </w:rPr>
      </w:pPr>
      <w:hyperlink w:anchor="_Toc32778301" w:history="1">
        <w:r w:rsidR="00026A55" w:rsidRPr="00026A55">
          <w:rPr>
            <w:rStyle w:val="Hipervnculo"/>
            <w:b w:val="0"/>
            <w:bCs w:val="0"/>
            <w:noProof/>
          </w:rPr>
          <w:t>2.</w:t>
        </w:r>
        <w:r w:rsidR="00026A55" w:rsidRPr="005235A5">
          <w:rPr>
            <w:rFonts w:ascii="Calibri" w:hAnsi="Calibri" w:cs="Times New Roman"/>
            <w:b w:val="0"/>
            <w:bCs w:val="0"/>
            <w:noProof/>
            <w:lang w:val="es-CO" w:eastAsia="es-CO"/>
          </w:rPr>
          <w:tab/>
        </w:r>
        <w:r w:rsidR="00026A55" w:rsidRPr="00026A55">
          <w:rPr>
            <w:rStyle w:val="Hipervnculo"/>
            <w:b w:val="0"/>
            <w:bCs w:val="0"/>
            <w:noProof/>
          </w:rPr>
          <w:t>ALCANCE</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_Toc32778301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2</w:t>
        </w:r>
        <w:r w:rsidR="00026A55" w:rsidRPr="00026A55">
          <w:rPr>
            <w:b w:val="0"/>
            <w:bCs w:val="0"/>
            <w:noProof/>
            <w:webHidden/>
          </w:rPr>
          <w:fldChar w:fldCharType="end"/>
        </w:r>
      </w:hyperlink>
    </w:p>
    <w:p w14:paraId="6F7F6865" w14:textId="7E3B2F98" w:rsidR="00026A55" w:rsidRPr="005235A5" w:rsidRDefault="000859CC" w:rsidP="00026A55">
      <w:pPr>
        <w:pStyle w:val="TDC3"/>
        <w:spacing w:before="120" w:after="120"/>
        <w:rPr>
          <w:rFonts w:ascii="Calibri" w:hAnsi="Calibri" w:cs="Times New Roman"/>
          <w:b w:val="0"/>
          <w:bCs w:val="0"/>
          <w:noProof/>
          <w:lang w:val="es-CO" w:eastAsia="es-CO"/>
        </w:rPr>
      </w:pPr>
      <w:hyperlink w:anchor="_Toc32778302" w:history="1">
        <w:r w:rsidR="00026A55" w:rsidRPr="00026A55">
          <w:rPr>
            <w:rStyle w:val="Hipervnculo"/>
            <w:b w:val="0"/>
            <w:bCs w:val="0"/>
            <w:noProof/>
          </w:rPr>
          <w:t>3.</w:t>
        </w:r>
        <w:r w:rsidR="00026A55" w:rsidRPr="005235A5">
          <w:rPr>
            <w:rFonts w:ascii="Calibri" w:hAnsi="Calibri" w:cs="Times New Roman"/>
            <w:b w:val="0"/>
            <w:bCs w:val="0"/>
            <w:noProof/>
            <w:lang w:val="es-CO" w:eastAsia="es-CO"/>
          </w:rPr>
          <w:tab/>
        </w:r>
        <w:r w:rsidR="00026A55" w:rsidRPr="00026A55">
          <w:rPr>
            <w:rStyle w:val="Hipervnculo"/>
            <w:b w:val="0"/>
            <w:bCs w:val="0"/>
            <w:noProof/>
          </w:rPr>
          <w:t>DEFINICIONES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_Toc32778302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2</w:t>
        </w:r>
        <w:r w:rsidR="00026A55" w:rsidRPr="00026A55">
          <w:rPr>
            <w:b w:val="0"/>
            <w:bCs w:val="0"/>
            <w:noProof/>
            <w:webHidden/>
          </w:rPr>
          <w:fldChar w:fldCharType="end"/>
        </w:r>
      </w:hyperlink>
    </w:p>
    <w:p w14:paraId="05D4E2F5" w14:textId="6BACCB2E" w:rsidR="00026A55" w:rsidRPr="005235A5" w:rsidRDefault="000859CC" w:rsidP="00026A55">
      <w:pPr>
        <w:pStyle w:val="TDC3"/>
        <w:spacing w:before="120" w:after="120"/>
        <w:rPr>
          <w:rFonts w:ascii="Calibri" w:hAnsi="Calibri" w:cs="Times New Roman"/>
          <w:b w:val="0"/>
          <w:bCs w:val="0"/>
          <w:noProof/>
          <w:lang w:val="es-CO" w:eastAsia="es-CO"/>
        </w:rPr>
      </w:pPr>
      <w:hyperlink w:anchor="_Toc32778303" w:history="1">
        <w:r w:rsidR="00026A55" w:rsidRPr="00026A55">
          <w:rPr>
            <w:rStyle w:val="Hipervnculo"/>
            <w:b w:val="0"/>
            <w:bCs w:val="0"/>
            <w:noProof/>
          </w:rPr>
          <w:t>4.</w:t>
        </w:r>
        <w:r w:rsidR="00026A55" w:rsidRPr="005235A5">
          <w:rPr>
            <w:rFonts w:ascii="Calibri" w:hAnsi="Calibri" w:cs="Times New Roman"/>
            <w:b w:val="0"/>
            <w:bCs w:val="0"/>
            <w:noProof/>
            <w:lang w:val="es-CO" w:eastAsia="es-CO"/>
          </w:rPr>
          <w:tab/>
        </w:r>
        <w:r w:rsidR="00026A55" w:rsidRPr="00026A55">
          <w:rPr>
            <w:rStyle w:val="Hipervnculo"/>
            <w:b w:val="0"/>
            <w:bCs w:val="0"/>
            <w:noProof/>
          </w:rPr>
          <w:t>NORMAS LEGALES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_Toc32778303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3</w:t>
        </w:r>
        <w:r w:rsidR="00026A55" w:rsidRPr="00026A55">
          <w:rPr>
            <w:b w:val="0"/>
            <w:bCs w:val="0"/>
            <w:noProof/>
            <w:webHidden/>
          </w:rPr>
          <w:fldChar w:fldCharType="end"/>
        </w:r>
      </w:hyperlink>
    </w:p>
    <w:p w14:paraId="531372A5" w14:textId="75909DFF" w:rsidR="00026A55" w:rsidRPr="005235A5" w:rsidRDefault="000859CC" w:rsidP="00026A55">
      <w:pPr>
        <w:pStyle w:val="TDC3"/>
        <w:spacing w:before="120" w:after="120"/>
        <w:rPr>
          <w:rFonts w:ascii="Calibri" w:hAnsi="Calibri" w:cs="Times New Roman"/>
          <w:b w:val="0"/>
          <w:bCs w:val="0"/>
          <w:noProof/>
          <w:lang w:val="es-CO" w:eastAsia="es-CO"/>
        </w:rPr>
      </w:pPr>
      <w:hyperlink w:anchor="_Toc32778304" w:history="1">
        <w:r w:rsidR="00026A55" w:rsidRPr="00026A55">
          <w:rPr>
            <w:rStyle w:val="Hipervnculo"/>
            <w:b w:val="0"/>
            <w:bCs w:val="0"/>
            <w:noProof/>
          </w:rPr>
          <w:t>5.</w:t>
        </w:r>
        <w:r w:rsidR="00026A55" w:rsidRPr="005235A5">
          <w:rPr>
            <w:rFonts w:ascii="Calibri" w:hAnsi="Calibri" w:cs="Times New Roman"/>
            <w:b w:val="0"/>
            <w:bCs w:val="0"/>
            <w:noProof/>
            <w:lang w:val="es-CO" w:eastAsia="es-CO"/>
          </w:rPr>
          <w:tab/>
        </w:r>
        <w:r w:rsidR="00026A55" w:rsidRPr="00026A55">
          <w:rPr>
            <w:rStyle w:val="Hipervnculo"/>
            <w:b w:val="0"/>
            <w:bCs w:val="0"/>
            <w:noProof/>
          </w:rPr>
          <w:t>NORMAS TÉCNICAS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_Toc32778304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3</w:t>
        </w:r>
        <w:r w:rsidR="00026A55" w:rsidRPr="00026A55">
          <w:rPr>
            <w:b w:val="0"/>
            <w:bCs w:val="0"/>
            <w:noProof/>
            <w:webHidden/>
          </w:rPr>
          <w:fldChar w:fldCharType="end"/>
        </w:r>
      </w:hyperlink>
    </w:p>
    <w:p w14:paraId="2C221323" w14:textId="6339E12C" w:rsidR="00026A55" w:rsidRPr="005235A5" w:rsidRDefault="000859CC" w:rsidP="00026A55">
      <w:pPr>
        <w:pStyle w:val="TDC3"/>
        <w:spacing w:before="120" w:after="120"/>
        <w:rPr>
          <w:rFonts w:ascii="Calibri" w:hAnsi="Calibri" w:cs="Times New Roman"/>
          <w:b w:val="0"/>
          <w:bCs w:val="0"/>
          <w:noProof/>
          <w:lang w:val="es-CO" w:eastAsia="es-CO"/>
        </w:rPr>
      </w:pPr>
      <w:hyperlink w:anchor="_Toc32778305" w:history="1">
        <w:r w:rsidR="00026A55" w:rsidRPr="00026A55">
          <w:rPr>
            <w:rStyle w:val="Hipervnculo"/>
            <w:b w:val="0"/>
            <w:bCs w:val="0"/>
            <w:noProof/>
          </w:rPr>
          <w:t>6.</w:t>
        </w:r>
        <w:r w:rsidR="00026A55" w:rsidRPr="005235A5">
          <w:rPr>
            <w:rFonts w:ascii="Calibri" w:hAnsi="Calibri" w:cs="Times New Roman"/>
            <w:b w:val="0"/>
            <w:bCs w:val="0"/>
            <w:noProof/>
            <w:lang w:val="es-CO" w:eastAsia="es-CO"/>
          </w:rPr>
          <w:tab/>
        </w:r>
        <w:r w:rsidR="00026A55" w:rsidRPr="00026A55">
          <w:rPr>
            <w:rStyle w:val="Hipervnculo"/>
            <w:b w:val="0"/>
            <w:bCs w:val="0"/>
            <w:noProof/>
          </w:rPr>
          <w:t>LINEAMIENTOS GENERALES Y/O POLÍTICAS DE OPERACIÓN</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_Toc32778305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3</w:t>
        </w:r>
        <w:r w:rsidR="00026A55" w:rsidRPr="00026A55">
          <w:rPr>
            <w:b w:val="0"/>
            <w:bCs w:val="0"/>
            <w:noProof/>
            <w:webHidden/>
          </w:rPr>
          <w:fldChar w:fldCharType="end"/>
        </w:r>
      </w:hyperlink>
    </w:p>
    <w:p w14:paraId="3244EE79" w14:textId="3456CAA7" w:rsidR="00026A55" w:rsidRPr="005235A5" w:rsidRDefault="000859CC" w:rsidP="00026A55">
      <w:pPr>
        <w:pStyle w:val="TDC3"/>
        <w:spacing w:before="120" w:after="120"/>
        <w:rPr>
          <w:rFonts w:ascii="Calibri" w:hAnsi="Calibri" w:cs="Times New Roman"/>
          <w:b w:val="0"/>
          <w:bCs w:val="0"/>
          <w:noProof/>
          <w:lang w:val="es-CO" w:eastAsia="es-CO"/>
        </w:rPr>
      </w:pPr>
      <w:hyperlink w:anchor="_Toc32778306" w:history="1">
        <w:r w:rsidR="00026A55" w:rsidRPr="00026A55">
          <w:rPr>
            <w:rStyle w:val="Hipervnculo"/>
            <w:b w:val="0"/>
            <w:bCs w:val="0"/>
            <w:noProof/>
          </w:rPr>
          <w:t>7.</w:t>
        </w:r>
        <w:r w:rsidR="00026A55" w:rsidRPr="005235A5">
          <w:rPr>
            <w:rFonts w:ascii="Calibri" w:hAnsi="Calibri" w:cs="Times New Roman"/>
            <w:b w:val="0"/>
            <w:bCs w:val="0"/>
            <w:noProof/>
            <w:lang w:val="es-CO" w:eastAsia="es-CO"/>
          </w:rPr>
          <w:tab/>
        </w:r>
        <w:r w:rsidR="00026A55" w:rsidRPr="00026A55">
          <w:rPr>
            <w:rStyle w:val="Hipervnculo"/>
            <w:b w:val="0"/>
            <w:bCs w:val="0"/>
            <w:noProof/>
          </w:rPr>
          <w:t>FORMATOS, REGISTROS O REPORTES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_Toc32778306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3</w:t>
        </w:r>
        <w:r w:rsidR="00026A55" w:rsidRPr="00026A55">
          <w:rPr>
            <w:b w:val="0"/>
            <w:bCs w:val="0"/>
            <w:noProof/>
            <w:webHidden/>
          </w:rPr>
          <w:fldChar w:fldCharType="end"/>
        </w:r>
      </w:hyperlink>
    </w:p>
    <w:p w14:paraId="197D59BF" w14:textId="083A015C" w:rsidR="00026A55" w:rsidRPr="005235A5" w:rsidRDefault="000859CC" w:rsidP="00026A55">
      <w:pPr>
        <w:pStyle w:val="TDC3"/>
        <w:spacing w:before="120" w:after="120"/>
        <w:rPr>
          <w:rFonts w:ascii="Calibri" w:hAnsi="Calibri" w:cs="Times New Roman"/>
          <w:b w:val="0"/>
          <w:bCs w:val="0"/>
          <w:noProof/>
          <w:lang w:val="es-CO" w:eastAsia="es-CO"/>
        </w:rPr>
      </w:pPr>
      <w:hyperlink w:anchor="_Toc32778307" w:history="1">
        <w:r w:rsidR="00026A55" w:rsidRPr="00026A55">
          <w:rPr>
            <w:rStyle w:val="Hipervnculo"/>
            <w:b w:val="0"/>
            <w:bCs w:val="0"/>
            <w:noProof/>
          </w:rPr>
          <w:t>8.</w:t>
        </w:r>
        <w:r w:rsidR="00026A55" w:rsidRPr="005235A5">
          <w:rPr>
            <w:rFonts w:ascii="Calibri" w:hAnsi="Calibri" w:cs="Times New Roman"/>
            <w:b w:val="0"/>
            <w:bCs w:val="0"/>
            <w:noProof/>
            <w:lang w:val="es-CO" w:eastAsia="es-CO"/>
          </w:rPr>
          <w:tab/>
        </w:r>
        <w:r w:rsidR="00026A55" w:rsidRPr="00026A55">
          <w:rPr>
            <w:rStyle w:val="Hipervnculo"/>
            <w:b w:val="0"/>
            <w:bCs w:val="0"/>
            <w:noProof/>
          </w:rPr>
          <w:t>PROCEDIMIENTO PASO A PASO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_Toc32778307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4</w:t>
        </w:r>
        <w:r w:rsidR="00026A55" w:rsidRPr="00026A55">
          <w:rPr>
            <w:b w:val="0"/>
            <w:bCs w:val="0"/>
            <w:noProof/>
            <w:webHidden/>
          </w:rPr>
          <w:fldChar w:fldCharType="end"/>
        </w:r>
      </w:hyperlink>
    </w:p>
    <w:p w14:paraId="78E8BA4B" w14:textId="2698AAAD" w:rsidR="00026A55" w:rsidRPr="005235A5" w:rsidRDefault="000859CC" w:rsidP="00026A55">
      <w:pPr>
        <w:pStyle w:val="TDC3"/>
        <w:spacing w:before="120" w:after="120"/>
        <w:rPr>
          <w:rFonts w:ascii="Calibri" w:hAnsi="Calibri" w:cs="Times New Roman"/>
          <w:b w:val="0"/>
          <w:bCs w:val="0"/>
          <w:noProof/>
          <w:lang w:val="es-CO" w:eastAsia="es-CO"/>
        </w:rPr>
      </w:pPr>
      <w:hyperlink w:anchor="_Toc32778308" w:history="1">
        <w:r w:rsidR="00026A55" w:rsidRPr="00026A55">
          <w:rPr>
            <w:rStyle w:val="Hipervnculo"/>
            <w:b w:val="0"/>
            <w:bCs w:val="0"/>
            <w:noProof/>
          </w:rPr>
          <w:t>9.</w:t>
        </w:r>
        <w:r w:rsidR="00026A55" w:rsidRPr="005235A5">
          <w:rPr>
            <w:rFonts w:ascii="Calibri" w:hAnsi="Calibri" w:cs="Times New Roman"/>
            <w:b w:val="0"/>
            <w:bCs w:val="0"/>
            <w:noProof/>
            <w:lang w:val="es-CO" w:eastAsia="es-CO"/>
          </w:rPr>
          <w:tab/>
        </w:r>
        <w:r w:rsidR="00026A55" w:rsidRPr="00026A55">
          <w:rPr>
            <w:rStyle w:val="Hipervnculo"/>
            <w:b w:val="0"/>
            <w:bCs w:val="0"/>
            <w:noProof/>
          </w:rPr>
          <w:t>ANEXOS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_Toc32778308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7</w:t>
        </w:r>
        <w:r w:rsidR="00026A55" w:rsidRPr="00026A55">
          <w:rPr>
            <w:b w:val="0"/>
            <w:bCs w:val="0"/>
            <w:noProof/>
            <w:webHidden/>
          </w:rPr>
          <w:fldChar w:fldCharType="end"/>
        </w:r>
      </w:hyperlink>
    </w:p>
    <w:p w14:paraId="133FBB25" w14:textId="627A9D18" w:rsidR="00026A55" w:rsidRPr="005235A5" w:rsidRDefault="000859CC" w:rsidP="00026A55">
      <w:pPr>
        <w:pStyle w:val="TDC3"/>
        <w:spacing w:before="120" w:after="120"/>
        <w:rPr>
          <w:rFonts w:ascii="Calibri" w:hAnsi="Calibri" w:cs="Times New Roman"/>
          <w:b w:val="0"/>
          <w:bCs w:val="0"/>
          <w:noProof/>
          <w:lang w:val="es-CO" w:eastAsia="es-CO"/>
        </w:rPr>
      </w:pPr>
      <w:hyperlink w:anchor="_Toc32778309" w:history="1">
        <w:r w:rsidR="00026A55" w:rsidRPr="00026A55">
          <w:rPr>
            <w:rStyle w:val="Hipervnculo"/>
            <w:b w:val="0"/>
            <w:bCs w:val="0"/>
            <w:noProof/>
          </w:rPr>
          <w:t>10.</w:t>
        </w:r>
        <w:r w:rsidR="00026A55" w:rsidRPr="005235A5">
          <w:rPr>
            <w:rFonts w:ascii="Calibri" w:hAnsi="Calibri" w:cs="Times New Roman"/>
            <w:b w:val="0"/>
            <w:bCs w:val="0"/>
            <w:noProof/>
            <w:lang w:val="es-CO" w:eastAsia="es-CO"/>
          </w:rPr>
          <w:tab/>
        </w:r>
        <w:r w:rsidR="00026A55" w:rsidRPr="00026A55">
          <w:rPr>
            <w:rStyle w:val="Hipervnculo"/>
            <w:b w:val="0"/>
            <w:bCs w:val="0"/>
            <w:noProof/>
          </w:rPr>
          <w:t>CONTROL DE CAMBIOS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_Toc32778309 \h </w:instrText>
        </w:r>
        <w:r w:rsidR="00026A55" w:rsidRPr="00026A55">
          <w:rPr>
            <w:b w:val="0"/>
            <w:bCs w:val="0"/>
            <w:noProof/>
            <w:webHidden/>
          </w:rPr>
        </w:r>
        <w:r w:rsidR="00026A55" w:rsidRPr="00026A55">
          <w:rPr>
            <w:b w:val="0"/>
            <w:bCs w:val="0"/>
            <w:noProof/>
            <w:webHidden/>
          </w:rPr>
          <w:fldChar w:fldCharType="separate"/>
        </w:r>
        <w:r w:rsidR="00DC1036">
          <w:rPr>
            <w:b w:val="0"/>
            <w:bCs w:val="0"/>
            <w:noProof/>
            <w:webHidden/>
          </w:rPr>
          <w:t>7</w:t>
        </w:r>
        <w:r w:rsidR="00026A55" w:rsidRPr="00026A55">
          <w:rPr>
            <w:b w:val="0"/>
            <w:bCs w:val="0"/>
            <w:noProof/>
            <w:webHidden/>
          </w:rPr>
          <w:fldChar w:fldCharType="end"/>
        </w:r>
      </w:hyperlink>
    </w:p>
    <w:p w14:paraId="0EFB4380" w14:textId="77777777" w:rsidR="00F404F2" w:rsidRPr="00E835FE" w:rsidRDefault="00F404F2" w:rsidP="00026A55">
      <w:pPr>
        <w:pStyle w:val="Titulo"/>
        <w:numPr>
          <w:ilvl w:val="0"/>
          <w:numId w:val="0"/>
        </w:numPr>
        <w:spacing w:before="120" w:after="120" w:line="240" w:lineRule="auto"/>
        <w:rPr>
          <w:rFonts w:ascii="Arial Narrow" w:hAnsi="Arial Narrow"/>
          <w:sz w:val="22"/>
          <w:szCs w:val="22"/>
        </w:rPr>
      </w:pPr>
      <w:r w:rsidRPr="00026A55">
        <w:rPr>
          <w:rFonts w:ascii="Arial Narrow" w:hAnsi="Arial Narrow"/>
          <w:sz w:val="22"/>
          <w:szCs w:val="22"/>
        </w:rPr>
        <w:fldChar w:fldCharType="end"/>
      </w:r>
    </w:p>
    <w:p w14:paraId="29497FC4" w14:textId="34FE072C" w:rsidR="00D1450C" w:rsidRPr="00D1450C" w:rsidRDefault="00D1450C" w:rsidP="00D1450C">
      <w:pPr>
        <w:pStyle w:val="Ttulo3"/>
        <w:numPr>
          <w:ilvl w:val="0"/>
          <w:numId w:val="0"/>
        </w:numPr>
        <w:spacing w:after="240" w:line="240" w:lineRule="auto"/>
        <w:ind w:left="432" w:hanging="432"/>
        <w:rPr>
          <w:rFonts w:ascii="Arial Narrow" w:hAnsi="Arial Narrow"/>
          <w:sz w:val="22"/>
          <w:szCs w:val="22"/>
        </w:rPr>
      </w:pPr>
    </w:p>
    <w:p w14:paraId="1065FB41" w14:textId="77777777" w:rsidR="00F404F2" w:rsidRPr="00E835FE" w:rsidRDefault="00F404F2" w:rsidP="00BE2B39">
      <w:pPr>
        <w:pStyle w:val="Ttulo3"/>
        <w:numPr>
          <w:ilvl w:val="0"/>
          <w:numId w:val="10"/>
        </w:numPr>
        <w:spacing w:after="240" w:line="240" w:lineRule="auto"/>
        <w:ind w:left="340" w:hanging="340"/>
        <w:rPr>
          <w:rFonts w:ascii="Arial Narrow" w:hAnsi="Arial Narrow"/>
          <w:sz w:val="22"/>
          <w:szCs w:val="22"/>
        </w:rPr>
      </w:pPr>
      <w:r w:rsidRPr="00D1450C">
        <w:br w:type="page"/>
      </w:r>
      <w:bookmarkStart w:id="1" w:name="_Toc32778300"/>
      <w:r w:rsidRPr="00E835FE">
        <w:rPr>
          <w:rFonts w:ascii="Arial Narrow" w:hAnsi="Arial Narrow"/>
          <w:sz w:val="22"/>
          <w:szCs w:val="22"/>
        </w:rPr>
        <w:lastRenderedPageBreak/>
        <w:t>OBJETIVO</w:t>
      </w:r>
      <w:bookmarkEnd w:id="1"/>
    </w:p>
    <w:p w14:paraId="727E39E5" w14:textId="16007A3B" w:rsidR="0002743E" w:rsidRPr="006B3A05" w:rsidRDefault="002B1B94" w:rsidP="006B3A05">
      <w:pPr>
        <w:jc w:val="both"/>
        <w:rPr>
          <w:rFonts w:ascii="Arial Narrow" w:hAnsi="Arial Narrow"/>
          <w:sz w:val="22"/>
          <w:szCs w:val="22"/>
        </w:rPr>
      </w:pPr>
      <w:bookmarkStart w:id="2" w:name="_Toc329034535"/>
      <w:bookmarkStart w:id="3" w:name="_Toc286754992"/>
      <w:bookmarkStart w:id="4" w:name="_Toc286757065"/>
      <w:bookmarkStart w:id="5" w:name="_Toc286759758"/>
      <w:bookmarkEnd w:id="2"/>
      <w:bookmarkEnd w:id="3"/>
      <w:bookmarkEnd w:id="4"/>
      <w:bookmarkEnd w:id="5"/>
      <w:r w:rsidRPr="002B1B94">
        <w:rPr>
          <w:rFonts w:ascii="Arial Narrow" w:hAnsi="Arial Narrow"/>
          <w:sz w:val="22"/>
          <w:szCs w:val="22"/>
        </w:rPr>
        <w:t xml:space="preserve">Establecer las actividades a realizar en las etapas precontractual, contractual y post contractual en la plataforma </w:t>
      </w:r>
      <w:r w:rsidR="000827E5" w:rsidRPr="002B1B94">
        <w:rPr>
          <w:rFonts w:ascii="Arial Narrow" w:hAnsi="Arial Narrow"/>
          <w:sz w:val="22"/>
          <w:szCs w:val="22"/>
        </w:rPr>
        <w:t>SECOP II</w:t>
      </w:r>
      <w:r w:rsidRPr="002B1B94">
        <w:rPr>
          <w:rFonts w:ascii="Arial Narrow" w:hAnsi="Arial Narrow"/>
          <w:sz w:val="22"/>
          <w:szCs w:val="22"/>
        </w:rPr>
        <w:t xml:space="preserve"> del proceso de selección de mínima cuantía para </w:t>
      </w:r>
      <w:r w:rsidR="000827E5" w:rsidRPr="002B1B94">
        <w:rPr>
          <w:rFonts w:ascii="Arial Narrow" w:hAnsi="Arial Narrow"/>
          <w:sz w:val="22"/>
          <w:szCs w:val="22"/>
        </w:rPr>
        <w:t>optimizar la</w:t>
      </w:r>
      <w:r w:rsidRPr="002B1B94">
        <w:rPr>
          <w:rFonts w:ascii="Arial Narrow" w:hAnsi="Arial Narrow"/>
          <w:sz w:val="22"/>
          <w:szCs w:val="22"/>
        </w:rPr>
        <w:t xml:space="preserve"> adquisición de bienes y servicios en Parques Nacionales Naturales</w:t>
      </w:r>
      <w:r w:rsidR="007A24ED">
        <w:rPr>
          <w:rFonts w:ascii="Arial Narrow" w:hAnsi="Arial Narrow"/>
          <w:sz w:val="22"/>
          <w:szCs w:val="22"/>
        </w:rPr>
        <w:t xml:space="preserve"> de Colombia - PNNC</w:t>
      </w:r>
      <w:r w:rsidR="006A3153" w:rsidRPr="006A3153">
        <w:rPr>
          <w:rFonts w:ascii="Arial Narrow" w:hAnsi="Arial Narrow"/>
          <w:sz w:val="22"/>
          <w:szCs w:val="22"/>
        </w:rPr>
        <w:t>.</w:t>
      </w:r>
    </w:p>
    <w:p w14:paraId="6F7FF396" w14:textId="77777777" w:rsidR="0002743E" w:rsidRPr="00E835FE" w:rsidRDefault="00F404F2" w:rsidP="00BE2B39">
      <w:pPr>
        <w:pStyle w:val="Ttulo3"/>
        <w:numPr>
          <w:ilvl w:val="0"/>
          <w:numId w:val="10"/>
        </w:numPr>
        <w:spacing w:after="240" w:line="240" w:lineRule="auto"/>
        <w:ind w:left="340" w:hanging="340"/>
        <w:rPr>
          <w:rFonts w:ascii="Arial Narrow" w:hAnsi="Arial Narrow"/>
          <w:sz w:val="22"/>
          <w:szCs w:val="22"/>
        </w:rPr>
      </w:pPr>
      <w:bookmarkStart w:id="6" w:name="_Toc32778301"/>
      <w:r w:rsidRPr="00E835FE">
        <w:rPr>
          <w:rFonts w:ascii="Arial Narrow" w:hAnsi="Arial Narrow"/>
          <w:sz w:val="22"/>
          <w:szCs w:val="22"/>
        </w:rPr>
        <w:t>ALCANCE</w:t>
      </w:r>
      <w:bookmarkEnd w:id="6"/>
    </w:p>
    <w:p w14:paraId="1AB0A2D4" w14:textId="2366A7AD" w:rsidR="0002743E" w:rsidRPr="006B3A05" w:rsidRDefault="006A3153" w:rsidP="0002743E">
      <w:pPr>
        <w:jc w:val="both"/>
        <w:rPr>
          <w:rFonts w:ascii="Arial Narrow" w:hAnsi="Arial Narrow"/>
          <w:sz w:val="22"/>
          <w:szCs w:val="22"/>
        </w:rPr>
      </w:pPr>
      <w:r w:rsidRPr="006A3153">
        <w:rPr>
          <w:rFonts w:ascii="Arial Narrow" w:hAnsi="Arial Narrow"/>
          <w:sz w:val="22"/>
          <w:szCs w:val="22"/>
        </w:rPr>
        <w:t>Inicia con la elaboración del estudio previo y finaliza con la publicación de la liquidación de</w:t>
      </w:r>
      <w:r w:rsidR="00EE5A12">
        <w:rPr>
          <w:rFonts w:ascii="Arial Narrow" w:hAnsi="Arial Narrow"/>
          <w:sz w:val="22"/>
          <w:szCs w:val="22"/>
        </w:rPr>
        <w:t xml:space="preserve"> la Aceptación de Oferta</w:t>
      </w:r>
      <w:r w:rsidRPr="006A3153">
        <w:rPr>
          <w:rFonts w:ascii="Arial Narrow" w:hAnsi="Arial Narrow"/>
          <w:sz w:val="22"/>
          <w:szCs w:val="22"/>
        </w:rPr>
        <w:t xml:space="preserve">. Aplica </w:t>
      </w:r>
      <w:r w:rsidR="007A7D3D">
        <w:rPr>
          <w:rFonts w:ascii="Arial Narrow" w:hAnsi="Arial Narrow"/>
          <w:sz w:val="22"/>
          <w:szCs w:val="22"/>
        </w:rPr>
        <w:t xml:space="preserve">para el </w:t>
      </w:r>
      <w:r w:rsidRPr="006A3153">
        <w:rPr>
          <w:rFonts w:ascii="Arial Narrow" w:hAnsi="Arial Narrow"/>
          <w:sz w:val="22"/>
          <w:szCs w:val="22"/>
        </w:rPr>
        <w:t>Nivel Central</w:t>
      </w:r>
      <w:r w:rsidR="007A7D3D">
        <w:rPr>
          <w:rFonts w:ascii="Arial Narrow" w:hAnsi="Arial Narrow"/>
          <w:sz w:val="22"/>
          <w:szCs w:val="22"/>
        </w:rPr>
        <w:t xml:space="preserve"> y Direcciones Territoriales. </w:t>
      </w:r>
      <w:r w:rsidRPr="006A3153">
        <w:rPr>
          <w:rFonts w:ascii="Arial Narrow" w:hAnsi="Arial Narrow"/>
          <w:sz w:val="22"/>
          <w:szCs w:val="22"/>
        </w:rPr>
        <w:t xml:space="preserve"> </w:t>
      </w:r>
    </w:p>
    <w:p w14:paraId="79EC005D" w14:textId="2FABFFF3" w:rsidR="006A3153" w:rsidRDefault="00F50304" w:rsidP="00BE2B39">
      <w:pPr>
        <w:pStyle w:val="Ttulo3"/>
        <w:numPr>
          <w:ilvl w:val="0"/>
          <w:numId w:val="10"/>
        </w:numPr>
        <w:spacing w:after="240" w:line="240" w:lineRule="auto"/>
        <w:ind w:left="340" w:hanging="340"/>
        <w:rPr>
          <w:rFonts w:ascii="Arial Narrow" w:hAnsi="Arial Narrow"/>
          <w:sz w:val="22"/>
          <w:szCs w:val="22"/>
        </w:rPr>
      </w:pPr>
      <w:bookmarkStart w:id="7" w:name="_Toc27490432"/>
      <w:bookmarkStart w:id="8" w:name="_Toc32778302"/>
      <w:bookmarkEnd w:id="7"/>
      <w:r w:rsidRPr="00E835FE">
        <w:rPr>
          <w:rFonts w:ascii="Arial Narrow" w:hAnsi="Arial Narrow"/>
          <w:sz w:val="22"/>
          <w:szCs w:val="22"/>
        </w:rPr>
        <w:t>DEFINICIONES</w:t>
      </w:r>
      <w:bookmarkEnd w:id="8"/>
    </w:p>
    <w:tbl>
      <w:tblPr>
        <w:tblW w:w="9498" w:type="dxa"/>
        <w:tblCellMar>
          <w:left w:w="70" w:type="dxa"/>
          <w:right w:w="70" w:type="dxa"/>
        </w:tblCellMar>
        <w:tblLook w:val="04A0" w:firstRow="1" w:lastRow="0" w:firstColumn="1" w:lastColumn="0" w:noHBand="0" w:noVBand="1"/>
      </w:tblPr>
      <w:tblGrid>
        <w:gridCol w:w="2977"/>
        <w:gridCol w:w="6521"/>
      </w:tblGrid>
      <w:tr w:rsidR="007C63F4" w:rsidRPr="00DE123B" w14:paraId="2C461063" w14:textId="77777777" w:rsidTr="007A24ED">
        <w:trPr>
          <w:trHeight w:val="900"/>
        </w:trPr>
        <w:tc>
          <w:tcPr>
            <w:tcW w:w="2977" w:type="dxa"/>
            <w:tcBorders>
              <w:top w:val="nil"/>
              <w:left w:val="nil"/>
              <w:bottom w:val="nil"/>
              <w:right w:val="nil"/>
            </w:tcBorders>
            <w:shd w:val="clear" w:color="auto" w:fill="auto"/>
            <w:noWrap/>
            <w:hideMark/>
          </w:tcPr>
          <w:p w14:paraId="2694E3D4" w14:textId="77777777" w:rsidR="00724439" w:rsidRPr="00DE123B" w:rsidRDefault="00724439" w:rsidP="00BE2B39">
            <w:pPr>
              <w:spacing w:before="80" w:after="80"/>
              <w:ind w:right="128"/>
              <w:rPr>
                <w:rFonts w:ascii="Arial Narrow" w:hAnsi="Arial Narrow"/>
                <w:b/>
                <w:bCs/>
                <w:color w:val="000000"/>
                <w:sz w:val="22"/>
                <w:szCs w:val="22"/>
              </w:rPr>
            </w:pPr>
            <w:r w:rsidRPr="00DE123B">
              <w:rPr>
                <w:rFonts w:ascii="Arial Narrow" w:hAnsi="Arial Narrow"/>
                <w:b/>
                <w:bCs/>
                <w:color w:val="000000"/>
                <w:sz w:val="22"/>
                <w:szCs w:val="22"/>
              </w:rPr>
              <w:t>ACEPTACIÓN DE LA OFERTA</w:t>
            </w:r>
          </w:p>
        </w:tc>
        <w:tc>
          <w:tcPr>
            <w:tcW w:w="6521" w:type="dxa"/>
            <w:tcBorders>
              <w:top w:val="nil"/>
              <w:left w:val="nil"/>
              <w:bottom w:val="nil"/>
              <w:right w:val="nil"/>
            </w:tcBorders>
            <w:shd w:val="clear" w:color="auto" w:fill="auto"/>
            <w:hideMark/>
          </w:tcPr>
          <w:p w14:paraId="38F50ED0" w14:textId="31706023" w:rsidR="00724439" w:rsidRPr="00DE123B" w:rsidRDefault="00724439" w:rsidP="007A24ED">
            <w:pPr>
              <w:spacing w:before="80" w:after="80"/>
              <w:jc w:val="both"/>
              <w:rPr>
                <w:rFonts w:ascii="Arial Narrow" w:hAnsi="Arial Narrow"/>
                <w:color w:val="000000"/>
                <w:sz w:val="22"/>
                <w:szCs w:val="22"/>
              </w:rPr>
            </w:pPr>
            <w:r w:rsidRPr="00DE123B">
              <w:rPr>
                <w:rFonts w:ascii="Arial Narrow" w:hAnsi="Arial Narrow"/>
                <w:color w:val="000000"/>
                <w:sz w:val="22"/>
                <w:szCs w:val="22"/>
              </w:rPr>
              <w:t xml:space="preserve">De conformidad con el </w:t>
            </w:r>
            <w:r w:rsidR="007C63F4" w:rsidRPr="00DE123B">
              <w:rPr>
                <w:rFonts w:ascii="Arial Narrow" w:hAnsi="Arial Narrow"/>
                <w:color w:val="000000"/>
                <w:sz w:val="22"/>
                <w:szCs w:val="22"/>
              </w:rPr>
              <w:t>artículo</w:t>
            </w:r>
            <w:r w:rsidRPr="00DE123B">
              <w:rPr>
                <w:rFonts w:ascii="Arial Narrow" w:hAnsi="Arial Narrow"/>
                <w:color w:val="000000"/>
                <w:sz w:val="22"/>
                <w:szCs w:val="22"/>
              </w:rPr>
              <w:t xml:space="preserve"> 2.2.1.2.1.5.2 del Decreto 1082 de 2015, procedimiento de la contratación de mínima cuantía en el numeral 6 establece que la oferta y su aceptación constituyen el contrato. </w:t>
            </w:r>
          </w:p>
        </w:tc>
      </w:tr>
      <w:tr w:rsidR="00724439" w:rsidRPr="00DE123B" w14:paraId="7E072ECD" w14:textId="77777777" w:rsidTr="007A24ED">
        <w:trPr>
          <w:trHeight w:val="968"/>
        </w:trPr>
        <w:tc>
          <w:tcPr>
            <w:tcW w:w="2977" w:type="dxa"/>
            <w:tcBorders>
              <w:top w:val="nil"/>
              <w:left w:val="nil"/>
              <w:bottom w:val="nil"/>
              <w:right w:val="nil"/>
            </w:tcBorders>
            <w:shd w:val="clear" w:color="auto" w:fill="auto"/>
            <w:noWrap/>
            <w:hideMark/>
          </w:tcPr>
          <w:p w14:paraId="16EF831B" w14:textId="77777777"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ANÁLISIS DEL SECTOR</w:t>
            </w:r>
          </w:p>
        </w:tc>
        <w:tc>
          <w:tcPr>
            <w:tcW w:w="6521" w:type="dxa"/>
            <w:tcBorders>
              <w:top w:val="nil"/>
              <w:left w:val="nil"/>
              <w:bottom w:val="nil"/>
              <w:right w:val="nil"/>
            </w:tcBorders>
            <w:shd w:val="clear" w:color="auto" w:fill="auto"/>
            <w:hideMark/>
          </w:tcPr>
          <w:p w14:paraId="7D854DD0" w14:textId="729D75AE" w:rsidR="00724439" w:rsidRPr="00A31F8F" w:rsidRDefault="00724439" w:rsidP="007A24ED">
            <w:pPr>
              <w:spacing w:before="80" w:after="80"/>
              <w:jc w:val="both"/>
              <w:rPr>
                <w:rFonts w:ascii="Arial Narrow" w:hAnsi="Arial Narrow"/>
                <w:color w:val="000000"/>
                <w:sz w:val="22"/>
                <w:szCs w:val="22"/>
              </w:rPr>
            </w:pPr>
            <w:r w:rsidRPr="00A31F8F">
              <w:rPr>
                <w:rFonts w:ascii="Arial Narrow" w:hAnsi="Arial Narrow"/>
                <w:color w:val="000000"/>
                <w:sz w:val="22"/>
                <w:szCs w:val="22"/>
              </w:rPr>
              <w:t>Estudio que permite identificar el mercado al cual pertenecen los bienes, obras o servicios a contratar, además permite establecer el contexto del Proceso de Adquisiciones de Bienes y Servicios, identificar algunos de los riesgos y</w:t>
            </w:r>
            <w:r w:rsidR="00A31F8F" w:rsidRPr="00A31F8F">
              <w:rPr>
                <w:rFonts w:ascii="Arial Narrow" w:hAnsi="Arial Narrow"/>
                <w:color w:val="000000"/>
                <w:sz w:val="22"/>
                <w:szCs w:val="22"/>
              </w:rPr>
              <w:t xml:space="preserve"> </w:t>
            </w:r>
            <w:r w:rsidR="00A31F8F" w:rsidRPr="00A31F8F">
              <w:rPr>
                <w:rFonts w:ascii="Arial Narrow" w:hAnsi="Arial Narrow"/>
              </w:rPr>
              <w:t>determinar los requisitos habilitantes y la forma de evaluar las ofertas</w:t>
            </w:r>
            <w:r w:rsidR="00A31F8F">
              <w:rPr>
                <w:rFonts w:ascii="Arial Narrow" w:hAnsi="Arial Narrow"/>
              </w:rPr>
              <w:t>.</w:t>
            </w:r>
          </w:p>
        </w:tc>
      </w:tr>
      <w:tr w:rsidR="00724439" w:rsidRPr="00DE123B" w14:paraId="06D15870" w14:textId="77777777" w:rsidTr="007A24ED">
        <w:trPr>
          <w:trHeight w:val="854"/>
        </w:trPr>
        <w:tc>
          <w:tcPr>
            <w:tcW w:w="2977" w:type="dxa"/>
            <w:tcBorders>
              <w:top w:val="nil"/>
              <w:left w:val="nil"/>
              <w:bottom w:val="nil"/>
              <w:right w:val="nil"/>
            </w:tcBorders>
            <w:shd w:val="clear" w:color="auto" w:fill="auto"/>
            <w:noWrap/>
            <w:hideMark/>
          </w:tcPr>
          <w:p w14:paraId="749B739E" w14:textId="77777777"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ANEXO TÉCNICO</w:t>
            </w:r>
          </w:p>
        </w:tc>
        <w:tc>
          <w:tcPr>
            <w:tcW w:w="6521" w:type="dxa"/>
            <w:tcBorders>
              <w:top w:val="nil"/>
              <w:left w:val="nil"/>
              <w:bottom w:val="nil"/>
              <w:right w:val="nil"/>
            </w:tcBorders>
            <w:shd w:val="clear" w:color="auto" w:fill="auto"/>
            <w:hideMark/>
          </w:tcPr>
          <w:p w14:paraId="0AAF6C10" w14:textId="343B50A5" w:rsidR="00724439" w:rsidRPr="00DE123B" w:rsidRDefault="001A0852" w:rsidP="007A24ED">
            <w:pPr>
              <w:spacing w:before="80" w:after="80"/>
              <w:jc w:val="both"/>
              <w:rPr>
                <w:rFonts w:ascii="Arial Narrow" w:hAnsi="Arial Narrow"/>
                <w:color w:val="000000"/>
                <w:sz w:val="22"/>
                <w:szCs w:val="22"/>
              </w:rPr>
            </w:pPr>
            <w:r>
              <w:rPr>
                <w:rFonts w:ascii="Arial Narrow" w:hAnsi="Arial Narrow"/>
                <w:color w:val="000000"/>
                <w:sz w:val="22"/>
                <w:szCs w:val="22"/>
              </w:rPr>
              <w:t>D</w:t>
            </w:r>
            <w:r w:rsidR="00724439" w:rsidRPr="00DE123B">
              <w:rPr>
                <w:rFonts w:ascii="Arial Narrow" w:hAnsi="Arial Narrow"/>
                <w:color w:val="000000"/>
                <w:sz w:val="22"/>
                <w:szCs w:val="22"/>
              </w:rPr>
              <w:t>ocumento que contiene las características y especificaciones del objeto a contratar, en el cual se contemplan entre otras la metodología, las actividades, el cronograma y demás aspectos relacionados con la ejecución del contrato.</w:t>
            </w:r>
          </w:p>
        </w:tc>
      </w:tr>
      <w:tr w:rsidR="00724439" w:rsidRPr="00DE123B" w14:paraId="5168DE90" w14:textId="77777777" w:rsidTr="007A24ED">
        <w:trPr>
          <w:trHeight w:val="900"/>
        </w:trPr>
        <w:tc>
          <w:tcPr>
            <w:tcW w:w="2977" w:type="dxa"/>
            <w:tcBorders>
              <w:top w:val="nil"/>
              <w:left w:val="nil"/>
              <w:bottom w:val="nil"/>
              <w:right w:val="nil"/>
            </w:tcBorders>
            <w:shd w:val="clear" w:color="auto" w:fill="auto"/>
            <w:noWrap/>
            <w:hideMark/>
          </w:tcPr>
          <w:p w14:paraId="283A8420" w14:textId="1B66A47E" w:rsidR="00724439" w:rsidRPr="00DE123B" w:rsidRDefault="00CF5081" w:rsidP="00BE2B39">
            <w:pPr>
              <w:spacing w:before="80" w:after="80"/>
              <w:rPr>
                <w:rFonts w:ascii="Arial Narrow" w:hAnsi="Arial Narrow"/>
                <w:b/>
                <w:bCs/>
                <w:color w:val="000000"/>
                <w:sz w:val="22"/>
                <w:szCs w:val="22"/>
              </w:rPr>
            </w:pPr>
            <w:r>
              <w:rPr>
                <w:rFonts w:ascii="Arial Narrow" w:hAnsi="Arial Narrow"/>
                <w:b/>
                <w:bCs/>
                <w:color w:val="000000"/>
                <w:sz w:val="22"/>
                <w:szCs w:val="22"/>
              </w:rPr>
              <w:t xml:space="preserve">CERTIFICADO DE DISPONIBILIDAD PRESUPUESTAL </w:t>
            </w:r>
          </w:p>
        </w:tc>
        <w:tc>
          <w:tcPr>
            <w:tcW w:w="6521" w:type="dxa"/>
            <w:tcBorders>
              <w:top w:val="nil"/>
              <w:left w:val="nil"/>
              <w:bottom w:val="nil"/>
              <w:right w:val="nil"/>
            </w:tcBorders>
            <w:shd w:val="clear" w:color="auto" w:fill="auto"/>
            <w:hideMark/>
          </w:tcPr>
          <w:p w14:paraId="67EB8562" w14:textId="66E76A5E" w:rsidR="00724439" w:rsidRPr="00DE123B" w:rsidRDefault="00724439" w:rsidP="007A24ED">
            <w:pPr>
              <w:spacing w:before="80" w:after="80"/>
              <w:jc w:val="both"/>
              <w:rPr>
                <w:rFonts w:ascii="Arial Narrow" w:hAnsi="Arial Narrow"/>
                <w:color w:val="000000"/>
                <w:sz w:val="22"/>
                <w:szCs w:val="22"/>
              </w:rPr>
            </w:pPr>
            <w:r w:rsidRPr="00DE123B">
              <w:rPr>
                <w:rFonts w:ascii="Arial Narrow" w:hAnsi="Arial Narrow"/>
                <w:color w:val="000000"/>
                <w:sz w:val="22"/>
                <w:szCs w:val="22"/>
              </w:rPr>
              <w:t xml:space="preserve">Documento mediante el cual se garantiza el principio de legalidad, es decir, la existencia del rubro y la apropiación presupuestal suficiente para atender un gasto determinado.  </w:t>
            </w:r>
          </w:p>
        </w:tc>
      </w:tr>
      <w:tr w:rsidR="00724439" w:rsidRPr="00DE123B" w14:paraId="646A02F5" w14:textId="77777777" w:rsidTr="007A24ED">
        <w:trPr>
          <w:trHeight w:val="866"/>
        </w:trPr>
        <w:tc>
          <w:tcPr>
            <w:tcW w:w="2977" w:type="dxa"/>
            <w:tcBorders>
              <w:top w:val="nil"/>
              <w:left w:val="nil"/>
              <w:bottom w:val="nil"/>
              <w:right w:val="nil"/>
            </w:tcBorders>
            <w:shd w:val="clear" w:color="auto" w:fill="auto"/>
            <w:noWrap/>
            <w:hideMark/>
          </w:tcPr>
          <w:p w14:paraId="3F2F0B9C" w14:textId="77777777"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ESTUDIO PREVIO</w:t>
            </w:r>
          </w:p>
        </w:tc>
        <w:tc>
          <w:tcPr>
            <w:tcW w:w="6521" w:type="dxa"/>
            <w:tcBorders>
              <w:top w:val="nil"/>
              <w:left w:val="nil"/>
              <w:bottom w:val="nil"/>
              <w:right w:val="nil"/>
            </w:tcBorders>
            <w:shd w:val="clear" w:color="auto" w:fill="auto"/>
            <w:hideMark/>
          </w:tcPr>
          <w:p w14:paraId="0ADD3C96" w14:textId="1373B661" w:rsidR="00724439" w:rsidRPr="00DE123B" w:rsidRDefault="00724439" w:rsidP="007A24ED">
            <w:pPr>
              <w:spacing w:before="80" w:after="80"/>
              <w:jc w:val="both"/>
              <w:rPr>
                <w:rFonts w:ascii="Arial Narrow" w:hAnsi="Arial Narrow"/>
                <w:color w:val="000000"/>
                <w:sz w:val="22"/>
                <w:szCs w:val="22"/>
              </w:rPr>
            </w:pPr>
            <w:r w:rsidRPr="00DE123B">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r w:rsidR="00A31F8F">
              <w:rPr>
                <w:rFonts w:ascii="Arial Narrow" w:hAnsi="Arial Narrow"/>
                <w:color w:val="000000"/>
                <w:sz w:val="22"/>
                <w:szCs w:val="22"/>
              </w:rPr>
              <w:t>.</w:t>
            </w:r>
          </w:p>
        </w:tc>
      </w:tr>
      <w:tr w:rsidR="00724439" w:rsidRPr="00DE123B" w14:paraId="4AB675C7" w14:textId="77777777" w:rsidTr="007A24ED">
        <w:trPr>
          <w:trHeight w:val="900"/>
        </w:trPr>
        <w:tc>
          <w:tcPr>
            <w:tcW w:w="2977" w:type="dxa"/>
            <w:tcBorders>
              <w:top w:val="nil"/>
              <w:left w:val="nil"/>
              <w:bottom w:val="nil"/>
              <w:right w:val="nil"/>
            </w:tcBorders>
            <w:shd w:val="clear" w:color="auto" w:fill="auto"/>
            <w:noWrap/>
            <w:hideMark/>
          </w:tcPr>
          <w:p w14:paraId="5200613F" w14:textId="77777777"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INVITACIÓN PÚBLICA</w:t>
            </w:r>
          </w:p>
        </w:tc>
        <w:tc>
          <w:tcPr>
            <w:tcW w:w="6521" w:type="dxa"/>
            <w:tcBorders>
              <w:top w:val="nil"/>
              <w:left w:val="nil"/>
              <w:bottom w:val="nil"/>
              <w:right w:val="nil"/>
            </w:tcBorders>
            <w:shd w:val="clear" w:color="auto" w:fill="auto"/>
            <w:hideMark/>
          </w:tcPr>
          <w:p w14:paraId="739F8B78" w14:textId="629197A4" w:rsidR="00724439" w:rsidRPr="00DE123B" w:rsidRDefault="001A0852" w:rsidP="007A24ED">
            <w:pPr>
              <w:spacing w:before="80" w:after="80"/>
              <w:jc w:val="both"/>
              <w:rPr>
                <w:rFonts w:ascii="Arial Narrow" w:hAnsi="Arial Narrow"/>
                <w:color w:val="000000"/>
                <w:sz w:val="22"/>
                <w:szCs w:val="22"/>
              </w:rPr>
            </w:pPr>
            <w:r>
              <w:rPr>
                <w:rFonts w:ascii="Arial Narrow" w:hAnsi="Arial Narrow"/>
                <w:color w:val="000000"/>
                <w:sz w:val="22"/>
                <w:szCs w:val="22"/>
              </w:rPr>
              <w:t>D</w:t>
            </w:r>
            <w:r w:rsidR="00724439" w:rsidRPr="00DE123B">
              <w:rPr>
                <w:rFonts w:ascii="Arial Narrow" w:hAnsi="Arial Narrow"/>
                <w:color w:val="000000"/>
                <w:sz w:val="22"/>
                <w:szCs w:val="22"/>
              </w:rPr>
              <w:t>ocumento precontractual mediante el cual se definen de manera exhaustiva y obligatoria las condiciones técnicas, jurídicas y económicas exigidas para la participación en el proceso de mínima cuantía.</w:t>
            </w:r>
          </w:p>
        </w:tc>
      </w:tr>
      <w:tr w:rsidR="00724439" w:rsidRPr="00DE123B" w14:paraId="44D80400" w14:textId="77777777" w:rsidTr="007A24ED">
        <w:trPr>
          <w:trHeight w:val="1200"/>
        </w:trPr>
        <w:tc>
          <w:tcPr>
            <w:tcW w:w="2977" w:type="dxa"/>
            <w:tcBorders>
              <w:top w:val="nil"/>
              <w:left w:val="nil"/>
              <w:bottom w:val="nil"/>
              <w:right w:val="nil"/>
            </w:tcBorders>
            <w:shd w:val="clear" w:color="auto" w:fill="auto"/>
            <w:noWrap/>
            <w:hideMark/>
          </w:tcPr>
          <w:p w14:paraId="54D11E72" w14:textId="77777777"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MÍNIMA CUANTÍA</w:t>
            </w:r>
          </w:p>
        </w:tc>
        <w:tc>
          <w:tcPr>
            <w:tcW w:w="6521" w:type="dxa"/>
            <w:tcBorders>
              <w:top w:val="nil"/>
              <w:left w:val="nil"/>
              <w:bottom w:val="nil"/>
              <w:right w:val="nil"/>
            </w:tcBorders>
            <w:shd w:val="clear" w:color="auto" w:fill="auto"/>
            <w:hideMark/>
          </w:tcPr>
          <w:p w14:paraId="7589DC5E" w14:textId="06735648" w:rsidR="00724439" w:rsidRPr="00DE123B" w:rsidRDefault="001A0852" w:rsidP="007A24ED">
            <w:pPr>
              <w:spacing w:before="80" w:after="80"/>
              <w:jc w:val="both"/>
              <w:rPr>
                <w:rFonts w:ascii="Arial Narrow" w:hAnsi="Arial Narrow"/>
                <w:color w:val="000000"/>
                <w:sz w:val="22"/>
                <w:szCs w:val="22"/>
              </w:rPr>
            </w:pPr>
            <w:r>
              <w:rPr>
                <w:rFonts w:ascii="Arial Narrow" w:hAnsi="Arial Narrow"/>
                <w:color w:val="000000"/>
                <w:sz w:val="22"/>
                <w:szCs w:val="22"/>
              </w:rPr>
              <w:t>C</w:t>
            </w:r>
            <w:r w:rsidR="00724439" w:rsidRPr="00DE123B">
              <w:rPr>
                <w:rFonts w:ascii="Arial Narrow" w:hAnsi="Arial Narrow"/>
                <w:color w:val="000000"/>
                <w:sz w:val="22"/>
                <w:szCs w:val="22"/>
              </w:rPr>
              <w:t xml:space="preserve">ontratación que realiza la entidad cuyo valor no excede del 10% de la menor cuantía de la entidad, independiente de su objeto. Su valor se tasa en salarios </w:t>
            </w:r>
            <w:r w:rsidR="007C63F4" w:rsidRPr="00DE123B">
              <w:rPr>
                <w:rFonts w:ascii="Arial Narrow" w:hAnsi="Arial Narrow"/>
                <w:color w:val="000000"/>
                <w:sz w:val="22"/>
                <w:szCs w:val="22"/>
              </w:rPr>
              <w:t>mínimos</w:t>
            </w:r>
            <w:r w:rsidR="00724439" w:rsidRPr="00DE123B">
              <w:rPr>
                <w:rFonts w:ascii="Arial Narrow" w:hAnsi="Arial Narrow"/>
                <w:color w:val="000000"/>
                <w:sz w:val="22"/>
                <w:szCs w:val="22"/>
              </w:rPr>
              <w:t xml:space="preserve"> mensuales vigentes con base en el presupuesto oficial </w:t>
            </w:r>
            <w:r w:rsidR="00A31F8F">
              <w:rPr>
                <w:rFonts w:ascii="Arial Narrow" w:hAnsi="Arial Narrow"/>
                <w:color w:val="000000"/>
                <w:sz w:val="22"/>
                <w:szCs w:val="22"/>
              </w:rPr>
              <w:t xml:space="preserve">de la entidad. </w:t>
            </w:r>
          </w:p>
        </w:tc>
      </w:tr>
      <w:tr w:rsidR="00724439" w:rsidRPr="00DE123B" w14:paraId="4F3EE5B5" w14:textId="77777777" w:rsidTr="007A24ED">
        <w:trPr>
          <w:trHeight w:val="600"/>
        </w:trPr>
        <w:tc>
          <w:tcPr>
            <w:tcW w:w="2977" w:type="dxa"/>
            <w:tcBorders>
              <w:top w:val="nil"/>
              <w:left w:val="nil"/>
              <w:bottom w:val="nil"/>
              <w:right w:val="nil"/>
            </w:tcBorders>
            <w:shd w:val="clear" w:color="auto" w:fill="auto"/>
            <w:noWrap/>
            <w:hideMark/>
          </w:tcPr>
          <w:p w14:paraId="2E1E4599" w14:textId="77777777"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OFERTA</w:t>
            </w:r>
          </w:p>
        </w:tc>
        <w:tc>
          <w:tcPr>
            <w:tcW w:w="6521" w:type="dxa"/>
            <w:tcBorders>
              <w:top w:val="nil"/>
              <w:left w:val="nil"/>
              <w:bottom w:val="nil"/>
              <w:right w:val="nil"/>
            </w:tcBorders>
            <w:shd w:val="clear" w:color="auto" w:fill="auto"/>
            <w:hideMark/>
          </w:tcPr>
          <w:p w14:paraId="5A60D100" w14:textId="11C1CA9F" w:rsidR="00724439" w:rsidRPr="00DE123B" w:rsidRDefault="001A0852" w:rsidP="007A24ED">
            <w:pPr>
              <w:spacing w:before="80" w:after="80"/>
              <w:jc w:val="both"/>
              <w:rPr>
                <w:rFonts w:ascii="Arial Narrow" w:hAnsi="Arial Narrow"/>
                <w:color w:val="000000"/>
                <w:sz w:val="22"/>
                <w:szCs w:val="22"/>
              </w:rPr>
            </w:pPr>
            <w:r>
              <w:rPr>
                <w:rFonts w:ascii="Arial Narrow" w:hAnsi="Arial Narrow"/>
                <w:color w:val="000000"/>
                <w:sz w:val="22"/>
                <w:szCs w:val="22"/>
              </w:rPr>
              <w:t>V</w:t>
            </w:r>
            <w:r w:rsidR="00724439" w:rsidRPr="00DE123B">
              <w:rPr>
                <w:rFonts w:ascii="Arial Narrow" w:hAnsi="Arial Narrow"/>
                <w:color w:val="000000"/>
                <w:sz w:val="22"/>
                <w:szCs w:val="22"/>
              </w:rPr>
              <w:t>aloración económica contenida en la propuesta presentada a la entidad en un proceso de contratación determinado.</w:t>
            </w:r>
          </w:p>
        </w:tc>
      </w:tr>
      <w:tr w:rsidR="00724439" w:rsidRPr="00DE123B" w14:paraId="33C52957" w14:textId="77777777" w:rsidTr="007A24ED">
        <w:trPr>
          <w:trHeight w:val="900"/>
        </w:trPr>
        <w:tc>
          <w:tcPr>
            <w:tcW w:w="2977" w:type="dxa"/>
            <w:tcBorders>
              <w:top w:val="nil"/>
              <w:left w:val="nil"/>
              <w:bottom w:val="nil"/>
              <w:right w:val="nil"/>
            </w:tcBorders>
            <w:shd w:val="clear" w:color="auto" w:fill="auto"/>
            <w:hideMark/>
          </w:tcPr>
          <w:p w14:paraId="3AFF427F" w14:textId="0E998CB9" w:rsidR="00724439" w:rsidRPr="00DE123B" w:rsidRDefault="00724439" w:rsidP="00BE2B39">
            <w:pPr>
              <w:spacing w:before="80" w:after="80"/>
              <w:rPr>
                <w:rFonts w:ascii="Arial Narrow" w:hAnsi="Arial Narrow"/>
                <w:b/>
                <w:bCs/>
                <w:color w:val="000000"/>
                <w:sz w:val="22"/>
                <w:szCs w:val="22"/>
              </w:rPr>
            </w:pPr>
            <w:r w:rsidRPr="00DE123B">
              <w:rPr>
                <w:rFonts w:ascii="Arial Narrow" w:hAnsi="Arial Narrow"/>
                <w:b/>
                <w:bCs/>
                <w:color w:val="000000"/>
                <w:sz w:val="22"/>
                <w:szCs w:val="22"/>
              </w:rPr>
              <w:t>SISTEMA ELECTRONICO PARA LA CONTRATACIÓN P</w:t>
            </w:r>
            <w:r w:rsidR="007A24ED">
              <w:rPr>
                <w:rFonts w:ascii="Arial Narrow" w:hAnsi="Arial Narrow"/>
                <w:b/>
                <w:bCs/>
                <w:color w:val="000000"/>
                <w:sz w:val="22"/>
                <w:szCs w:val="22"/>
              </w:rPr>
              <w:t>Ú</w:t>
            </w:r>
            <w:r w:rsidRPr="00DE123B">
              <w:rPr>
                <w:rFonts w:ascii="Arial Narrow" w:hAnsi="Arial Narrow"/>
                <w:b/>
                <w:bCs/>
                <w:color w:val="000000"/>
                <w:sz w:val="22"/>
                <w:szCs w:val="22"/>
              </w:rPr>
              <w:t>BLICA - SECOP II</w:t>
            </w:r>
          </w:p>
        </w:tc>
        <w:tc>
          <w:tcPr>
            <w:tcW w:w="6521" w:type="dxa"/>
            <w:tcBorders>
              <w:top w:val="nil"/>
              <w:left w:val="nil"/>
              <w:bottom w:val="nil"/>
              <w:right w:val="nil"/>
            </w:tcBorders>
            <w:shd w:val="clear" w:color="auto" w:fill="auto"/>
            <w:hideMark/>
          </w:tcPr>
          <w:p w14:paraId="6DA6D1A2" w14:textId="1D583334" w:rsidR="00724439" w:rsidRPr="00DE123B" w:rsidRDefault="001A0852" w:rsidP="001A0852">
            <w:pPr>
              <w:spacing w:before="80" w:after="80"/>
              <w:jc w:val="both"/>
              <w:rPr>
                <w:rFonts w:ascii="Arial Narrow" w:hAnsi="Arial Narrow"/>
                <w:color w:val="000000"/>
                <w:sz w:val="22"/>
                <w:szCs w:val="22"/>
              </w:rPr>
            </w:pPr>
            <w:r>
              <w:rPr>
                <w:rFonts w:ascii="Arial Narrow" w:hAnsi="Arial Narrow"/>
                <w:color w:val="000000"/>
                <w:sz w:val="22"/>
                <w:szCs w:val="22"/>
              </w:rPr>
              <w:t>P</w:t>
            </w:r>
            <w:r w:rsidR="00724439" w:rsidRPr="00DE123B">
              <w:rPr>
                <w:rFonts w:ascii="Arial Narrow" w:hAnsi="Arial Narrow"/>
                <w:color w:val="000000"/>
                <w:sz w:val="22"/>
                <w:szCs w:val="22"/>
              </w:rPr>
              <w:t xml:space="preserve">lataforma electrónica que permite a las </w:t>
            </w:r>
            <w:r>
              <w:rPr>
                <w:rFonts w:ascii="Arial Narrow" w:hAnsi="Arial Narrow"/>
                <w:color w:val="000000"/>
                <w:sz w:val="22"/>
                <w:szCs w:val="22"/>
              </w:rPr>
              <w:t>e</w:t>
            </w:r>
            <w:r w:rsidR="00724439" w:rsidRPr="00DE123B">
              <w:rPr>
                <w:rFonts w:ascii="Arial Narrow" w:hAnsi="Arial Narrow"/>
                <w:color w:val="000000"/>
                <w:sz w:val="22"/>
                <w:szCs w:val="22"/>
              </w:rPr>
              <w:t>ntidades que se rigen por ley 80 de 1993,</w:t>
            </w:r>
            <w:r w:rsidR="00BE2B39">
              <w:rPr>
                <w:rFonts w:ascii="Arial Narrow" w:hAnsi="Arial Narrow"/>
                <w:color w:val="000000"/>
                <w:sz w:val="22"/>
                <w:szCs w:val="22"/>
              </w:rPr>
              <w:t xml:space="preserve"> </w:t>
            </w:r>
            <w:r w:rsidR="00724439" w:rsidRPr="00DE123B">
              <w:rPr>
                <w:rFonts w:ascii="Arial Narrow" w:hAnsi="Arial Narrow"/>
                <w:color w:val="000000"/>
                <w:sz w:val="22"/>
                <w:szCs w:val="22"/>
              </w:rPr>
              <w:t>realizar en forma transaccional toda su contratación, con el fin de salvaguardar los principios genera</w:t>
            </w:r>
            <w:r w:rsidR="00A31F8F">
              <w:rPr>
                <w:rFonts w:ascii="Arial Narrow" w:hAnsi="Arial Narrow"/>
                <w:color w:val="000000"/>
                <w:sz w:val="22"/>
                <w:szCs w:val="22"/>
              </w:rPr>
              <w:t>les.</w:t>
            </w:r>
          </w:p>
        </w:tc>
      </w:tr>
    </w:tbl>
    <w:p w14:paraId="1C88664B" w14:textId="4045F3E3" w:rsidR="007C63F4" w:rsidRPr="007C63F4" w:rsidRDefault="00186FC1" w:rsidP="00BE2B39">
      <w:pPr>
        <w:pStyle w:val="Ttulo3"/>
        <w:numPr>
          <w:ilvl w:val="0"/>
          <w:numId w:val="10"/>
        </w:numPr>
        <w:spacing w:after="24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32778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lastRenderedPageBreak/>
        <w:t>NORMAS LEGALES</w:t>
      </w:r>
      <w:bookmarkEnd w:id="46"/>
    </w:p>
    <w:p w14:paraId="24931CD5" w14:textId="7489FDB3" w:rsidR="002616E7" w:rsidRPr="002616E7" w:rsidRDefault="002616E7" w:rsidP="00BE2B39">
      <w:pPr>
        <w:numPr>
          <w:ilvl w:val="0"/>
          <w:numId w:val="32"/>
        </w:numPr>
        <w:tabs>
          <w:tab w:val="left" w:pos="340"/>
        </w:tabs>
        <w:spacing w:before="120" w:after="120"/>
        <w:jc w:val="both"/>
        <w:rPr>
          <w:rFonts w:ascii="Arial Narrow" w:hAnsi="Arial Narrow"/>
          <w:sz w:val="22"/>
          <w:szCs w:val="22"/>
        </w:rPr>
      </w:pPr>
      <w:r w:rsidRPr="002616E7">
        <w:rPr>
          <w:rFonts w:ascii="Arial Narrow" w:hAnsi="Arial Narrow"/>
          <w:b/>
          <w:bCs/>
          <w:sz w:val="22"/>
          <w:szCs w:val="22"/>
        </w:rPr>
        <w:t>Ley 80 de 1993:</w:t>
      </w:r>
      <w:r w:rsidRPr="002616E7">
        <w:rPr>
          <w:rFonts w:ascii="Arial Narrow" w:hAnsi="Arial Narrow"/>
          <w:sz w:val="22"/>
          <w:szCs w:val="22"/>
        </w:rPr>
        <w:t xml:space="preserve"> </w:t>
      </w:r>
      <w:r w:rsidR="00B8523E">
        <w:rPr>
          <w:rFonts w:ascii="Arial Narrow" w:hAnsi="Arial Narrow"/>
          <w:sz w:val="22"/>
          <w:szCs w:val="22"/>
        </w:rPr>
        <w:t>“</w:t>
      </w:r>
      <w:r w:rsidRPr="002616E7">
        <w:rPr>
          <w:rFonts w:ascii="Arial Narrow" w:hAnsi="Arial Narrow"/>
          <w:sz w:val="22"/>
          <w:szCs w:val="22"/>
        </w:rPr>
        <w:t>Por la cual se expide el Estatuto General de Contratación de la Administración Pública</w:t>
      </w:r>
      <w:r w:rsidR="00B8523E">
        <w:rPr>
          <w:rFonts w:ascii="Arial Narrow" w:hAnsi="Arial Narrow"/>
          <w:sz w:val="22"/>
          <w:szCs w:val="22"/>
        </w:rPr>
        <w:t>”</w:t>
      </w:r>
      <w:r w:rsidRPr="002616E7">
        <w:rPr>
          <w:rFonts w:ascii="Arial Narrow" w:hAnsi="Arial Narrow"/>
          <w:sz w:val="22"/>
          <w:szCs w:val="22"/>
        </w:rPr>
        <w:t>.</w:t>
      </w:r>
    </w:p>
    <w:p w14:paraId="557C11C2" w14:textId="360C0D95" w:rsidR="002616E7" w:rsidRPr="002616E7" w:rsidRDefault="002616E7" w:rsidP="00BE2B39">
      <w:pPr>
        <w:numPr>
          <w:ilvl w:val="0"/>
          <w:numId w:val="32"/>
        </w:numPr>
        <w:tabs>
          <w:tab w:val="left" w:pos="340"/>
        </w:tabs>
        <w:spacing w:before="120" w:after="12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w:t>
      </w:r>
      <w:r w:rsidR="00B8523E">
        <w:rPr>
          <w:rFonts w:ascii="Arial Narrow" w:hAnsi="Arial Narrow"/>
          <w:sz w:val="22"/>
          <w:szCs w:val="22"/>
        </w:rPr>
        <w:t>“</w:t>
      </w:r>
      <w:r w:rsidRPr="002616E7">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sidR="00B8523E">
        <w:rPr>
          <w:rFonts w:ascii="Arial Narrow" w:hAnsi="Arial Narrow"/>
          <w:sz w:val="22"/>
          <w:szCs w:val="22"/>
        </w:rPr>
        <w:t>”</w:t>
      </w:r>
      <w:r w:rsidRPr="002616E7">
        <w:rPr>
          <w:rFonts w:ascii="Arial Narrow" w:hAnsi="Arial Narrow"/>
          <w:sz w:val="22"/>
          <w:szCs w:val="22"/>
        </w:rPr>
        <w:t>.</w:t>
      </w:r>
    </w:p>
    <w:p w14:paraId="13C2224F" w14:textId="6CD6AB5E" w:rsidR="002616E7" w:rsidRPr="002616E7" w:rsidRDefault="002616E7" w:rsidP="00BE2B39">
      <w:pPr>
        <w:numPr>
          <w:ilvl w:val="0"/>
          <w:numId w:val="32"/>
        </w:numPr>
        <w:tabs>
          <w:tab w:val="left" w:pos="340"/>
        </w:tabs>
        <w:spacing w:before="120" w:after="12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r w:rsidR="00B8523E">
        <w:rPr>
          <w:rFonts w:ascii="Arial Narrow" w:hAnsi="Arial Narrow"/>
          <w:sz w:val="22"/>
          <w:szCs w:val="22"/>
        </w:rPr>
        <w:t>.</w:t>
      </w:r>
    </w:p>
    <w:p w14:paraId="4F5BDD5A" w14:textId="77777777" w:rsidR="002616E7" w:rsidRPr="002616E7" w:rsidRDefault="002616E7" w:rsidP="00BE2B39">
      <w:pPr>
        <w:numPr>
          <w:ilvl w:val="0"/>
          <w:numId w:val="32"/>
        </w:numPr>
        <w:tabs>
          <w:tab w:val="left" w:pos="340"/>
        </w:tabs>
        <w:spacing w:before="120" w:after="12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p>
    <w:p w14:paraId="12479A84" w14:textId="0827D71E" w:rsidR="002616E7" w:rsidRDefault="002616E7" w:rsidP="00BE2B39">
      <w:pPr>
        <w:numPr>
          <w:ilvl w:val="0"/>
          <w:numId w:val="32"/>
        </w:numPr>
        <w:tabs>
          <w:tab w:val="left" w:pos="340"/>
        </w:tabs>
        <w:spacing w:before="120" w:after="12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r w:rsidR="005021FC">
        <w:rPr>
          <w:rFonts w:ascii="Arial Narrow" w:hAnsi="Arial Narrow"/>
          <w:sz w:val="22"/>
          <w:szCs w:val="22"/>
        </w:rPr>
        <w:t>.</w:t>
      </w:r>
    </w:p>
    <w:p w14:paraId="57F2AE3C" w14:textId="77777777" w:rsidR="007C63F4" w:rsidRPr="006108C4" w:rsidRDefault="007C63F4" w:rsidP="00BE2B39">
      <w:pPr>
        <w:numPr>
          <w:ilvl w:val="0"/>
          <w:numId w:val="32"/>
        </w:numPr>
        <w:tabs>
          <w:tab w:val="left" w:pos="340"/>
        </w:tabs>
        <w:spacing w:before="120" w:after="120"/>
        <w:jc w:val="both"/>
        <w:rPr>
          <w:rFonts w:ascii="Arial Narrow" w:hAnsi="Arial Narrow"/>
          <w:bCs/>
          <w:sz w:val="22"/>
          <w:szCs w:val="22"/>
        </w:rPr>
      </w:pPr>
      <w:r w:rsidRPr="007C63F4">
        <w:rPr>
          <w:rFonts w:ascii="Arial Narrow" w:hAnsi="Arial Narrow"/>
          <w:b/>
          <w:bCs/>
          <w:sz w:val="22"/>
          <w:szCs w:val="22"/>
        </w:rPr>
        <w:t xml:space="preserve">Ley 1882 de 2018: </w:t>
      </w:r>
      <w:r w:rsidRPr="006108C4">
        <w:rPr>
          <w:rFonts w:ascii="Arial Narrow" w:hAnsi="Arial Narrow"/>
          <w:bCs/>
          <w:sz w:val="22"/>
          <w:szCs w:val="22"/>
        </w:rPr>
        <w:t xml:space="preserve">"Por la cual se adicionan, modifican y dictan disposiciones orientadas a fortalecer la Contratación Pública en Colombia, la ley de infraestructura y se dictan otras disposiciones". </w:t>
      </w:r>
    </w:p>
    <w:p w14:paraId="14131E6C" w14:textId="77777777" w:rsidR="007C63F4" w:rsidRPr="006108C4" w:rsidRDefault="007C63F4" w:rsidP="00BE2B39">
      <w:pPr>
        <w:numPr>
          <w:ilvl w:val="0"/>
          <w:numId w:val="32"/>
        </w:numPr>
        <w:tabs>
          <w:tab w:val="left" w:pos="340"/>
        </w:tabs>
        <w:spacing w:before="120" w:after="120"/>
        <w:jc w:val="both"/>
        <w:rPr>
          <w:rFonts w:ascii="Arial Narrow" w:hAnsi="Arial Narrow"/>
          <w:bCs/>
          <w:sz w:val="22"/>
          <w:szCs w:val="22"/>
        </w:rPr>
      </w:pPr>
      <w:r w:rsidRPr="007C63F4">
        <w:rPr>
          <w:rFonts w:ascii="Arial Narrow" w:hAnsi="Arial Narrow"/>
          <w:b/>
          <w:bCs/>
          <w:sz w:val="22"/>
          <w:szCs w:val="22"/>
        </w:rPr>
        <w:t xml:space="preserve">Ley 1599 de 2019: </w:t>
      </w:r>
      <w:r w:rsidRPr="006108C4">
        <w:rPr>
          <w:rFonts w:ascii="Arial Narrow" w:hAnsi="Arial Narrow"/>
          <w:bCs/>
          <w:sz w:val="22"/>
          <w:szCs w:val="22"/>
        </w:rPr>
        <w:t xml:space="preserve">"Por la cual se expide el Plan Nacional de Desarrollo de 2018 – 2022 “Pacto por Colombia, Pacto por la equidad”. </w:t>
      </w:r>
    </w:p>
    <w:p w14:paraId="3C82DAEB" w14:textId="5BB11E51" w:rsidR="007C63F4" w:rsidRPr="006108C4" w:rsidRDefault="007C63F4" w:rsidP="00BE2B39">
      <w:pPr>
        <w:numPr>
          <w:ilvl w:val="0"/>
          <w:numId w:val="32"/>
        </w:numPr>
        <w:tabs>
          <w:tab w:val="left" w:pos="340"/>
        </w:tabs>
        <w:spacing w:before="120" w:after="120"/>
        <w:jc w:val="both"/>
        <w:rPr>
          <w:rFonts w:ascii="Arial Narrow" w:hAnsi="Arial Narrow"/>
          <w:bCs/>
          <w:sz w:val="22"/>
          <w:szCs w:val="22"/>
        </w:rPr>
      </w:pPr>
      <w:r w:rsidRPr="007C63F4">
        <w:rPr>
          <w:rFonts w:ascii="Arial Narrow" w:hAnsi="Arial Narrow"/>
          <w:b/>
          <w:bCs/>
          <w:sz w:val="22"/>
          <w:szCs w:val="22"/>
        </w:rPr>
        <w:t xml:space="preserve">Ley 2069 de 2020: </w:t>
      </w:r>
      <w:r w:rsidRPr="006108C4">
        <w:rPr>
          <w:rFonts w:ascii="Arial Narrow" w:hAnsi="Arial Narrow"/>
          <w:bCs/>
          <w:sz w:val="22"/>
          <w:szCs w:val="22"/>
        </w:rPr>
        <w:t xml:space="preserve">"Por medio del cual se impulsa el emprendimiento en Colombia". </w:t>
      </w:r>
    </w:p>
    <w:p w14:paraId="010DB045" w14:textId="77777777" w:rsidR="006F656B" w:rsidRPr="00D62539" w:rsidRDefault="006F656B" w:rsidP="006F656B">
      <w:pPr>
        <w:numPr>
          <w:ilvl w:val="0"/>
          <w:numId w:val="32"/>
        </w:numPr>
        <w:spacing w:before="120" w:after="120"/>
        <w:jc w:val="both"/>
        <w:rPr>
          <w:rFonts w:ascii="Arial Narrow" w:hAnsi="Arial Narrow"/>
          <w:sz w:val="22"/>
          <w:szCs w:val="22"/>
        </w:rPr>
      </w:pPr>
      <w:bookmarkStart w:id="47" w:name="_Toc32778304"/>
      <w:r w:rsidRPr="00D62539">
        <w:rPr>
          <w:rFonts w:ascii="Arial Narrow" w:hAnsi="Arial Narrow"/>
          <w:b/>
          <w:sz w:val="22"/>
          <w:szCs w:val="22"/>
        </w:rPr>
        <w:t>Ley 2080 de 2021</w:t>
      </w:r>
      <w:r>
        <w:rPr>
          <w:rFonts w:ascii="Arial Narrow" w:hAnsi="Arial Narrow"/>
          <w:b/>
          <w:sz w:val="22"/>
          <w:szCs w:val="22"/>
        </w:rPr>
        <w:t xml:space="preserve"> </w:t>
      </w:r>
      <w:r w:rsidRPr="00D62539">
        <w:rPr>
          <w:rFonts w:ascii="Arial Narrow" w:hAnsi="Arial Narrow"/>
          <w:sz w:val="22"/>
          <w:szCs w:val="22"/>
        </w:rPr>
        <w:t>“</w:t>
      </w:r>
      <w:r>
        <w:rPr>
          <w:rFonts w:ascii="Arial Narrow" w:hAnsi="Arial Narrow"/>
          <w:bCs/>
          <w:sz w:val="22"/>
          <w:szCs w:val="22"/>
        </w:rPr>
        <w:t>P</w:t>
      </w:r>
      <w:r w:rsidRPr="00D62539">
        <w:rPr>
          <w:rFonts w:ascii="Arial Narrow" w:hAnsi="Arial Narrow"/>
          <w:bCs/>
          <w:sz w:val="22"/>
          <w:szCs w:val="22"/>
        </w:rPr>
        <w:t>or medio de la cual se reforma el código de procedimiento administrativo y de lo contencioso administrativo -ley 1437 de 2011- y se dictan otras disposiciones en materia de descongestión en los procesos que se tramitan ante la jurisdicción</w:t>
      </w:r>
      <w:r>
        <w:rPr>
          <w:rFonts w:ascii="Arial Narrow" w:hAnsi="Arial Narrow"/>
          <w:bCs/>
          <w:sz w:val="22"/>
          <w:szCs w:val="22"/>
        </w:rPr>
        <w:t>”</w:t>
      </w:r>
      <w:r w:rsidRPr="00D62539">
        <w:rPr>
          <w:rFonts w:ascii="Arial Narrow" w:hAnsi="Arial Narrow"/>
          <w:bCs/>
          <w:sz w:val="22"/>
          <w:szCs w:val="22"/>
        </w:rPr>
        <w:t>.</w:t>
      </w:r>
    </w:p>
    <w:p w14:paraId="052FEBEF" w14:textId="77777777" w:rsidR="006F656B" w:rsidRDefault="006F656B" w:rsidP="006F656B">
      <w:pPr>
        <w:numPr>
          <w:ilvl w:val="0"/>
          <w:numId w:val="32"/>
        </w:numPr>
        <w:spacing w:before="120" w:after="120"/>
        <w:jc w:val="both"/>
        <w:rPr>
          <w:rFonts w:ascii="Arial Narrow" w:hAnsi="Arial Narrow"/>
          <w:sz w:val="22"/>
          <w:szCs w:val="22"/>
        </w:rPr>
      </w:pPr>
      <w:r w:rsidRPr="0057093D">
        <w:rPr>
          <w:rFonts w:ascii="Arial Narrow" w:hAnsi="Arial Narrow"/>
          <w:b/>
          <w:sz w:val="22"/>
          <w:szCs w:val="22"/>
        </w:rPr>
        <w:t>Decreto 310 de 2021</w:t>
      </w:r>
      <w:r w:rsidRPr="0057093D">
        <w:rPr>
          <w:rFonts w:ascii="Arial Narrow" w:hAnsi="Arial Narrow"/>
          <w:sz w:val="22"/>
          <w:szCs w:val="22"/>
        </w:rPr>
        <w:t>: "Por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p>
    <w:p w14:paraId="1A7AF164" w14:textId="77777777" w:rsidR="006F656B" w:rsidRDefault="006F656B" w:rsidP="006F656B">
      <w:pPr>
        <w:numPr>
          <w:ilvl w:val="0"/>
          <w:numId w:val="32"/>
        </w:numPr>
        <w:spacing w:before="120" w:after="120"/>
        <w:jc w:val="both"/>
        <w:rPr>
          <w:rFonts w:ascii="Arial Narrow" w:hAnsi="Arial Narrow"/>
          <w:sz w:val="22"/>
          <w:szCs w:val="22"/>
        </w:rPr>
      </w:pPr>
      <w:r w:rsidRPr="00CA1132">
        <w:rPr>
          <w:rFonts w:ascii="Arial Narrow" w:hAnsi="Arial Narrow"/>
          <w:b/>
          <w:sz w:val="22"/>
          <w:szCs w:val="22"/>
        </w:rPr>
        <w:t>Decreto 399 de 2021:</w:t>
      </w:r>
      <w:r w:rsidRPr="00CA1132">
        <w:rPr>
          <w:rFonts w:ascii="Arial Narrow" w:hAnsi="Arial Narrow"/>
          <w:sz w:val="22"/>
          <w:szCs w:val="22"/>
        </w:rPr>
        <w:t xml:space="preserve"> "Por el cual se modifican los artículos 2.2.1.1.2.1.1., 2.2.1.2.1.3.2. Y 2.2.1.2.3.1.14., Y se adicionan unos parágrafos transitorios a los artículos 2.2.1.1.1.5.2., 2.2.1.1.1.5.6. Y 2.2.1.1.1.6.2. del Decreto 1082 de 2015, Único Reglamentario del Sector Administrativo de Planeación Nacional". </w:t>
      </w:r>
    </w:p>
    <w:p w14:paraId="798B45D3" w14:textId="77777777" w:rsidR="006F656B" w:rsidRDefault="006F656B" w:rsidP="006F656B">
      <w:pPr>
        <w:numPr>
          <w:ilvl w:val="0"/>
          <w:numId w:val="32"/>
        </w:numPr>
        <w:spacing w:before="120" w:after="120"/>
        <w:jc w:val="both"/>
        <w:rPr>
          <w:rFonts w:ascii="Arial Narrow" w:hAnsi="Arial Narrow"/>
          <w:sz w:val="22"/>
          <w:szCs w:val="22"/>
        </w:rPr>
      </w:pPr>
      <w:r>
        <w:rPr>
          <w:rFonts w:ascii="Arial Narrow" w:hAnsi="Arial Narrow"/>
          <w:b/>
          <w:sz w:val="22"/>
          <w:szCs w:val="22"/>
        </w:rPr>
        <w:t>Decreto 680 de 2021:</w:t>
      </w:r>
      <w:r>
        <w:rPr>
          <w:rFonts w:ascii="Arial Narrow" w:hAnsi="Arial Narrow"/>
          <w:sz w:val="22"/>
          <w:szCs w:val="22"/>
        </w:rPr>
        <w:t xml:space="preserve"> “</w:t>
      </w:r>
      <w:r w:rsidRPr="00D62539">
        <w:rPr>
          <w:rFonts w:ascii="Arial Narrow" w:hAnsi="Arial Narrow"/>
          <w:sz w:val="22"/>
          <w:szCs w:val="22"/>
        </w:rPr>
        <w:t>Por el cual se modifica parcialmente el artículo </w:t>
      </w:r>
      <w:hyperlink r:id="rId8" w:anchor="2.2.1.1.1.3.1" w:history="1">
        <w:r w:rsidRPr="00D62539">
          <w:rPr>
            <w:rFonts w:ascii="Arial Narrow" w:hAnsi="Arial Narrow"/>
            <w:sz w:val="22"/>
            <w:szCs w:val="22"/>
          </w:rPr>
          <w:t>2.2.1.1.1.3.1</w:t>
        </w:r>
      </w:hyperlink>
      <w:r w:rsidRPr="00D62539">
        <w:rPr>
          <w:rFonts w:ascii="Arial Narrow" w:hAnsi="Arial Narrow"/>
          <w:sz w:val="22"/>
          <w:szCs w:val="22"/>
        </w:rPr>
        <w:t>. y se adiciona el artículo </w:t>
      </w:r>
      <w:hyperlink r:id="rId9" w:anchor="2.2.1.2.4.2.9" w:history="1">
        <w:r w:rsidRPr="00D62539">
          <w:rPr>
            <w:rFonts w:ascii="Arial Narrow" w:hAnsi="Arial Narrow"/>
            <w:sz w:val="22"/>
            <w:szCs w:val="22"/>
          </w:rPr>
          <w:t>2.2.1.2.4.2.9</w:t>
        </w:r>
      </w:hyperlink>
      <w:r w:rsidRPr="00D62539">
        <w:rPr>
          <w:rFonts w:ascii="Arial Narrow" w:hAnsi="Arial Narrow"/>
          <w:sz w:val="22"/>
          <w:szCs w:val="22"/>
        </w:rPr>
        <w:t>. al Decreto 1082 de 2015, Único Reglamentario del Sector Administrativo de Planeación Nacional, en relación con la regla de origen de servicios en el Sistema de Compra Pública</w:t>
      </w:r>
      <w:r>
        <w:rPr>
          <w:rFonts w:ascii="Arial Narrow" w:hAnsi="Arial Narrow"/>
          <w:sz w:val="22"/>
          <w:szCs w:val="22"/>
        </w:rPr>
        <w:t>”.</w:t>
      </w:r>
    </w:p>
    <w:p w14:paraId="6F02AEEF" w14:textId="77777777" w:rsidR="006F656B" w:rsidRDefault="006F656B" w:rsidP="006F656B">
      <w:pPr>
        <w:numPr>
          <w:ilvl w:val="0"/>
          <w:numId w:val="32"/>
        </w:numPr>
        <w:spacing w:before="120" w:after="120"/>
        <w:jc w:val="both"/>
        <w:rPr>
          <w:rFonts w:ascii="Arial Narrow" w:hAnsi="Arial Narrow"/>
          <w:sz w:val="22"/>
          <w:szCs w:val="22"/>
        </w:rPr>
      </w:pPr>
      <w:r>
        <w:rPr>
          <w:rFonts w:ascii="Arial Narrow" w:hAnsi="Arial Narrow"/>
          <w:b/>
          <w:sz w:val="22"/>
          <w:szCs w:val="22"/>
        </w:rPr>
        <w:t xml:space="preserve">Decreto 1860 de 2021: </w:t>
      </w:r>
      <w:r w:rsidRPr="00442641">
        <w:rPr>
          <w:rFonts w:ascii="Arial Narrow" w:hAnsi="Arial Narrow"/>
          <w:sz w:val="22"/>
          <w:szCs w:val="22"/>
        </w:rPr>
        <w:t>“Por el cual se modifica y adiciona el Decreto </w:t>
      </w:r>
      <w:hyperlink r:id="rId10" w:anchor="0" w:history="1">
        <w:r w:rsidRPr="00442641">
          <w:rPr>
            <w:rFonts w:ascii="Arial Narrow" w:hAnsi="Arial Narrow"/>
            <w:sz w:val="22"/>
            <w:szCs w:val="22"/>
          </w:rPr>
          <w:t>1082 </w:t>
        </w:r>
      </w:hyperlink>
      <w:r w:rsidRPr="00442641">
        <w:rPr>
          <w:rFonts w:ascii="Arial Narrow" w:hAnsi="Arial Narrow"/>
          <w:sz w:val="22"/>
          <w:szCs w:val="22"/>
        </w:rPr>
        <w:t>de 2015, Único Reglamentario del Sector Administrativo de Planeación Nacional, con el fin reglamentar los artículos </w:t>
      </w:r>
      <w:hyperlink r:id="rId11" w:anchor="30" w:history="1">
        <w:r w:rsidRPr="00442641">
          <w:rPr>
            <w:rFonts w:ascii="Arial Narrow" w:hAnsi="Arial Narrow"/>
            <w:sz w:val="22"/>
            <w:szCs w:val="22"/>
          </w:rPr>
          <w:t>30</w:t>
        </w:r>
      </w:hyperlink>
      <w:r w:rsidRPr="00442641">
        <w:rPr>
          <w:rFonts w:ascii="Arial Narrow" w:hAnsi="Arial Narrow"/>
          <w:sz w:val="22"/>
          <w:szCs w:val="22"/>
        </w:rPr>
        <w:t>, </w:t>
      </w:r>
      <w:hyperlink r:id="rId12" w:anchor="31" w:history="1">
        <w:r w:rsidRPr="00442641">
          <w:rPr>
            <w:rFonts w:ascii="Arial Narrow" w:hAnsi="Arial Narrow"/>
            <w:sz w:val="22"/>
            <w:szCs w:val="22"/>
          </w:rPr>
          <w:t>31</w:t>
        </w:r>
      </w:hyperlink>
      <w:r w:rsidRPr="00442641">
        <w:rPr>
          <w:rFonts w:ascii="Arial Narrow" w:hAnsi="Arial Narrow"/>
          <w:sz w:val="22"/>
          <w:szCs w:val="22"/>
        </w:rPr>
        <w:t>, </w:t>
      </w:r>
      <w:hyperlink r:id="rId13" w:anchor="32" w:history="1">
        <w:r w:rsidRPr="00442641">
          <w:rPr>
            <w:rFonts w:ascii="Arial Narrow" w:hAnsi="Arial Narrow"/>
            <w:sz w:val="22"/>
            <w:szCs w:val="22"/>
          </w:rPr>
          <w:t>32</w:t>
        </w:r>
      </w:hyperlink>
      <w:r w:rsidRPr="00442641">
        <w:rPr>
          <w:rFonts w:ascii="Arial Narrow" w:hAnsi="Arial Narrow"/>
          <w:sz w:val="22"/>
          <w:szCs w:val="22"/>
        </w:rPr>
        <w:t>, </w:t>
      </w:r>
      <w:hyperlink r:id="rId14" w:anchor="34" w:history="1">
        <w:r w:rsidRPr="00442641">
          <w:rPr>
            <w:rFonts w:ascii="Arial Narrow" w:hAnsi="Arial Narrow"/>
            <w:sz w:val="22"/>
            <w:szCs w:val="22"/>
          </w:rPr>
          <w:t>34 </w:t>
        </w:r>
      </w:hyperlink>
      <w:r w:rsidRPr="00442641">
        <w:rPr>
          <w:rFonts w:ascii="Arial Narrow" w:hAnsi="Arial Narrow"/>
          <w:sz w:val="22"/>
          <w:szCs w:val="22"/>
        </w:rPr>
        <w:t>y </w:t>
      </w:r>
      <w:hyperlink r:id="rId15" w:anchor="35" w:history="1">
        <w:r w:rsidRPr="00442641">
          <w:rPr>
            <w:rFonts w:ascii="Arial Narrow" w:hAnsi="Arial Narrow"/>
            <w:sz w:val="22"/>
            <w:szCs w:val="22"/>
          </w:rPr>
          <w:t>35 </w:t>
        </w:r>
      </w:hyperlink>
      <w:r w:rsidRPr="00442641">
        <w:rPr>
          <w:rFonts w:ascii="Arial Narrow" w:hAnsi="Arial Narrow"/>
          <w:sz w:val="22"/>
          <w:szCs w:val="22"/>
        </w:rPr>
        <w:t>de la Ley 2069 de 2020, en lo relativo al sistema de compras públicas y se dictan otras disposiciones</w:t>
      </w:r>
      <w:r>
        <w:rPr>
          <w:rFonts w:ascii="Arial Narrow" w:hAnsi="Arial Narrow"/>
          <w:sz w:val="22"/>
          <w:szCs w:val="22"/>
        </w:rPr>
        <w:t xml:space="preserve">”. </w:t>
      </w:r>
      <w:r w:rsidRPr="00D62539">
        <w:rPr>
          <w:rFonts w:ascii="Arial Narrow" w:hAnsi="Arial Narrow"/>
          <w:sz w:val="22"/>
          <w:szCs w:val="22"/>
        </w:rPr>
        <w:t xml:space="preserve"> </w:t>
      </w:r>
    </w:p>
    <w:p w14:paraId="54FDFFD5" w14:textId="34E4EDC1" w:rsidR="006F656B" w:rsidRPr="00D62539" w:rsidRDefault="006F656B" w:rsidP="006F656B">
      <w:pPr>
        <w:numPr>
          <w:ilvl w:val="0"/>
          <w:numId w:val="32"/>
        </w:numPr>
        <w:spacing w:before="120" w:after="120"/>
        <w:jc w:val="both"/>
        <w:rPr>
          <w:rFonts w:ascii="Arial Narrow" w:hAnsi="Arial Narrow"/>
          <w:sz w:val="22"/>
          <w:szCs w:val="22"/>
        </w:rPr>
      </w:pPr>
      <w:bookmarkStart w:id="48" w:name="_Hlk112829478"/>
      <w:r w:rsidRPr="0057093D">
        <w:rPr>
          <w:rFonts w:ascii="Arial Narrow" w:hAnsi="Arial Narrow"/>
          <w:b/>
          <w:sz w:val="22"/>
          <w:szCs w:val="22"/>
        </w:rPr>
        <w:t xml:space="preserve">Resolución </w:t>
      </w:r>
      <w:r>
        <w:rPr>
          <w:rFonts w:ascii="Arial Narrow" w:hAnsi="Arial Narrow"/>
          <w:b/>
          <w:sz w:val="22"/>
          <w:szCs w:val="22"/>
        </w:rPr>
        <w:t xml:space="preserve">308 </w:t>
      </w:r>
      <w:r w:rsidRPr="0057093D">
        <w:rPr>
          <w:rFonts w:ascii="Arial Narrow" w:hAnsi="Arial Narrow"/>
          <w:b/>
          <w:sz w:val="22"/>
          <w:szCs w:val="22"/>
        </w:rPr>
        <w:t>de 20</w:t>
      </w:r>
      <w:r>
        <w:rPr>
          <w:rFonts w:ascii="Arial Narrow" w:hAnsi="Arial Narrow"/>
          <w:b/>
          <w:sz w:val="22"/>
          <w:szCs w:val="22"/>
        </w:rPr>
        <w:t>17:</w:t>
      </w:r>
      <w:r w:rsidRPr="0057093D">
        <w:rPr>
          <w:rFonts w:ascii="Arial Narrow" w:hAnsi="Arial Narrow"/>
          <w:sz w:val="22"/>
          <w:szCs w:val="22"/>
        </w:rPr>
        <w:t xml:space="preserve"> </w:t>
      </w:r>
      <w:r>
        <w:rPr>
          <w:rFonts w:ascii="Arial Narrow" w:hAnsi="Arial Narrow"/>
          <w:sz w:val="22"/>
          <w:szCs w:val="22"/>
        </w:rPr>
        <w:t>“</w:t>
      </w:r>
      <w:r w:rsidRPr="00A126A0">
        <w:rPr>
          <w:rFonts w:ascii="Arial Narrow" w:hAnsi="Arial Narrow"/>
          <w:sz w:val="22"/>
          <w:szCs w:val="22"/>
        </w:rPr>
        <w:t xml:space="preserve">Por el cual se conforma el Comité </w:t>
      </w:r>
      <w:r w:rsidR="001A0852">
        <w:rPr>
          <w:rFonts w:ascii="Arial Narrow" w:hAnsi="Arial Narrow"/>
          <w:sz w:val="22"/>
          <w:szCs w:val="22"/>
        </w:rPr>
        <w:t>E</w:t>
      </w:r>
      <w:r w:rsidRPr="00A126A0">
        <w:rPr>
          <w:rFonts w:ascii="Arial Narrow" w:hAnsi="Arial Narrow"/>
          <w:sz w:val="22"/>
          <w:szCs w:val="22"/>
        </w:rPr>
        <w:t>valuador para los procesos contractuales, se designan sus funciones y se dictan otras disposiciones”.</w:t>
      </w:r>
    </w:p>
    <w:bookmarkEnd w:id="48"/>
    <w:p w14:paraId="2F4C75B5" w14:textId="404CE1EF" w:rsidR="006F656B" w:rsidRPr="006D6BE3" w:rsidRDefault="006F656B" w:rsidP="006F656B">
      <w:pPr>
        <w:numPr>
          <w:ilvl w:val="0"/>
          <w:numId w:val="32"/>
        </w:numPr>
        <w:spacing w:before="120" w:after="120"/>
        <w:jc w:val="both"/>
        <w:rPr>
          <w:rFonts w:ascii="Arial Narrow" w:hAnsi="Arial Narrow"/>
          <w:sz w:val="22"/>
          <w:szCs w:val="22"/>
        </w:rPr>
      </w:pPr>
      <w:r w:rsidRPr="0057093D">
        <w:rPr>
          <w:rFonts w:ascii="Arial Narrow" w:hAnsi="Arial Narrow"/>
          <w:b/>
          <w:sz w:val="22"/>
          <w:szCs w:val="22"/>
        </w:rPr>
        <w:t>Resolución 134 de 2021</w:t>
      </w:r>
      <w:r w:rsidRPr="0057093D">
        <w:rPr>
          <w:rFonts w:ascii="Arial Narrow" w:hAnsi="Arial Narrow"/>
          <w:sz w:val="22"/>
          <w:szCs w:val="22"/>
        </w:rPr>
        <w:t xml:space="preserve"> "Por la cual se conforma el </w:t>
      </w:r>
      <w:r w:rsidR="001A0852">
        <w:rPr>
          <w:rFonts w:ascii="Arial Narrow" w:hAnsi="Arial Narrow"/>
          <w:sz w:val="22"/>
          <w:szCs w:val="22"/>
        </w:rPr>
        <w:t>C</w:t>
      </w:r>
      <w:r w:rsidRPr="0057093D">
        <w:rPr>
          <w:rFonts w:ascii="Arial Narrow" w:hAnsi="Arial Narrow"/>
          <w:sz w:val="22"/>
          <w:szCs w:val="22"/>
        </w:rPr>
        <w:t xml:space="preserve">omité de </w:t>
      </w:r>
      <w:r w:rsidR="001A0852">
        <w:rPr>
          <w:rFonts w:ascii="Arial Narrow" w:hAnsi="Arial Narrow"/>
          <w:sz w:val="22"/>
          <w:szCs w:val="22"/>
        </w:rPr>
        <w:t>C</w:t>
      </w:r>
      <w:r w:rsidRPr="0057093D">
        <w:rPr>
          <w:rFonts w:ascii="Arial Narrow" w:hAnsi="Arial Narrow"/>
          <w:sz w:val="22"/>
          <w:szCs w:val="22"/>
        </w:rPr>
        <w:t xml:space="preserve">ontratación de </w:t>
      </w:r>
      <w:r w:rsidR="001A0852">
        <w:rPr>
          <w:rFonts w:ascii="Arial Narrow" w:hAnsi="Arial Narrow"/>
          <w:sz w:val="22"/>
          <w:szCs w:val="22"/>
        </w:rPr>
        <w:t>P</w:t>
      </w:r>
      <w:r w:rsidRPr="0057093D">
        <w:rPr>
          <w:rFonts w:ascii="Arial Narrow" w:hAnsi="Arial Narrow"/>
          <w:sz w:val="22"/>
          <w:szCs w:val="22"/>
        </w:rPr>
        <w:t xml:space="preserve">arques </w:t>
      </w:r>
      <w:r w:rsidR="001A0852">
        <w:rPr>
          <w:rFonts w:ascii="Arial Narrow" w:hAnsi="Arial Narrow"/>
          <w:sz w:val="22"/>
          <w:szCs w:val="22"/>
        </w:rPr>
        <w:t>N</w:t>
      </w:r>
      <w:r w:rsidRPr="0057093D">
        <w:rPr>
          <w:rFonts w:ascii="Arial Narrow" w:hAnsi="Arial Narrow"/>
          <w:sz w:val="22"/>
          <w:szCs w:val="22"/>
        </w:rPr>
        <w:t xml:space="preserve">acionales </w:t>
      </w:r>
      <w:r w:rsidR="001A0852">
        <w:rPr>
          <w:rFonts w:ascii="Arial Narrow" w:hAnsi="Arial Narrow"/>
          <w:sz w:val="22"/>
          <w:szCs w:val="22"/>
        </w:rPr>
        <w:t>N</w:t>
      </w:r>
      <w:r w:rsidRPr="0057093D">
        <w:rPr>
          <w:rFonts w:ascii="Arial Narrow" w:hAnsi="Arial Narrow"/>
          <w:sz w:val="22"/>
          <w:szCs w:val="22"/>
        </w:rPr>
        <w:t>aturales de Colombia”.</w:t>
      </w:r>
    </w:p>
    <w:p w14:paraId="190012FB" w14:textId="77777777" w:rsidR="000D1AB2" w:rsidRPr="00E835FE" w:rsidRDefault="000D1AB2" w:rsidP="00BE2B39">
      <w:pPr>
        <w:pStyle w:val="Ttulo3"/>
        <w:numPr>
          <w:ilvl w:val="0"/>
          <w:numId w:val="10"/>
        </w:numPr>
        <w:spacing w:after="240" w:line="240" w:lineRule="auto"/>
        <w:ind w:left="340" w:hanging="340"/>
        <w:rPr>
          <w:rFonts w:ascii="Arial Narrow" w:hAnsi="Arial Narrow"/>
          <w:sz w:val="22"/>
          <w:szCs w:val="22"/>
        </w:rPr>
      </w:pPr>
      <w:r w:rsidRPr="00E835FE">
        <w:rPr>
          <w:rFonts w:ascii="Arial Narrow" w:hAnsi="Arial Narrow"/>
          <w:sz w:val="22"/>
          <w:szCs w:val="22"/>
        </w:rPr>
        <w:t>NORMAS TÉCNICAS</w:t>
      </w:r>
      <w:bookmarkEnd w:id="47"/>
    </w:p>
    <w:p w14:paraId="2F5CE755" w14:textId="77777777" w:rsidR="00BE2B39" w:rsidRPr="00B36FFA" w:rsidRDefault="00BE2B39" w:rsidP="00BE2B39">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2012414A" w:rsidR="00EE2D87" w:rsidRPr="00BE2B39" w:rsidRDefault="00BE2B39" w:rsidP="00BE2B39">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lastRenderedPageBreak/>
        <w:t>Circulares y pronunciamientos de Colombia Compra Eficiente</w:t>
      </w:r>
      <w:r w:rsidR="00790E4D" w:rsidRPr="00BE2B39">
        <w:rPr>
          <w:rFonts w:ascii="Arial Narrow" w:hAnsi="Arial Narrow"/>
          <w:sz w:val="22"/>
          <w:szCs w:val="22"/>
        </w:rPr>
        <w:t>.</w:t>
      </w:r>
    </w:p>
    <w:p w14:paraId="18A40674" w14:textId="77777777" w:rsidR="001B308D" w:rsidRPr="00E835FE" w:rsidRDefault="00F36B8B" w:rsidP="00BE2B39">
      <w:pPr>
        <w:pStyle w:val="Ttulo3"/>
        <w:numPr>
          <w:ilvl w:val="0"/>
          <w:numId w:val="10"/>
        </w:numPr>
        <w:spacing w:after="240" w:line="240" w:lineRule="auto"/>
        <w:ind w:left="340" w:hanging="340"/>
        <w:rPr>
          <w:rFonts w:ascii="Arial Narrow" w:hAnsi="Arial Narrow"/>
          <w:sz w:val="22"/>
          <w:szCs w:val="22"/>
        </w:rPr>
      </w:pPr>
      <w:bookmarkStart w:id="49" w:name="_Toc32778305"/>
      <w:r w:rsidRPr="00E835FE">
        <w:rPr>
          <w:rFonts w:ascii="Arial Narrow" w:hAnsi="Arial Narrow"/>
          <w:sz w:val="22"/>
          <w:szCs w:val="22"/>
        </w:rPr>
        <w:t>LINEAMIENTOS GENERALES Y/O POLÍTICAS DE OPERACIÓN</w:t>
      </w:r>
      <w:bookmarkEnd w:id="49"/>
    </w:p>
    <w:p w14:paraId="61D30879" w14:textId="4490E984" w:rsidR="00C11B3F" w:rsidRDefault="00BE2B39" w:rsidP="00B36FFA">
      <w:pPr>
        <w:numPr>
          <w:ilvl w:val="0"/>
          <w:numId w:val="19"/>
        </w:numPr>
        <w:tabs>
          <w:tab w:val="left" w:pos="340"/>
        </w:tabs>
        <w:spacing w:before="120" w:after="120"/>
        <w:jc w:val="both"/>
        <w:rPr>
          <w:rFonts w:ascii="Arial Narrow" w:hAnsi="Arial Narrow"/>
          <w:sz w:val="22"/>
          <w:szCs w:val="22"/>
        </w:rPr>
      </w:pPr>
      <w:r>
        <w:rPr>
          <w:rFonts w:ascii="Arial Narrow" w:hAnsi="Arial Narrow"/>
          <w:sz w:val="22"/>
          <w:szCs w:val="22"/>
        </w:rPr>
        <w:t xml:space="preserve">Para el desarrollo del procedimiento se debe emplear el </w:t>
      </w:r>
      <w:r w:rsidR="00B36FFA" w:rsidRPr="00B36FFA">
        <w:rPr>
          <w:rFonts w:ascii="Arial Narrow" w:hAnsi="Arial Narrow"/>
          <w:sz w:val="22"/>
          <w:szCs w:val="22"/>
        </w:rPr>
        <w:t>Manual de contratación</w:t>
      </w:r>
      <w:r>
        <w:rPr>
          <w:rFonts w:ascii="Arial Narrow" w:hAnsi="Arial Narrow"/>
          <w:sz w:val="22"/>
          <w:szCs w:val="22"/>
        </w:rPr>
        <w:t xml:space="preserve"> y </w:t>
      </w:r>
      <w:r w:rsidR="001E4D6B">
        <w:rPr>
          <w:rFonts w:ascii="Arial Narrow" w:hAnsi="Arial Narrow"/>
          <w:sz w:val="22"/>
          <w:szCs w:val="22"/>
        </w:rPr>
        <w:t>Guía</w:t>
      </w:r>
      <w:r>
        <w:rPr>
          <w:rFonts w:ascii="Arial Narrow" w:hAnsi="Arial Narrow"/>
          <w:sz w:val="22"/>
          <w:szCs w:val="22"/>
        </w:rPr>
        <w:t xml:space="preserve"> supervisión</w:t>
      </w:r>
      <w:r w:rsidR="001E4D6B">
        <w:rPr>
          <w:rFonts w:ascii="Arial Narrow" w:hAnsi="Arial Narrow"/>
          <w:sz w:val="22"/>
          <w:szCs w:val="22"/>
        </w:rPr>
        <w:t xml:space="preserve"> e interventoría. </w:t>
      </w:r>
    </w:p>
    <w:p w14:paraId="6FFEE32D" w14:textId="5B8ECEF2" w:rsidR="007516CA" w:rsidRPr="007516CA" w:rsidRDefault="007516CA" w:rsidP="00B36FFA">
      <w:pPr>
        <w:numPr>
          <w:ilvl w:val="0"/>
          <w:numId w:val="19"/>
        </w:numPr>
        <w:tabs>
          <w:tab w:val="left" w:pos="340"/>
        </w:tabs>
        <w:spacing w:before="120" w:after="120"/>
        <w:jc w:val="both"/>
        <w:rPr>
          <w:rFonts w:ascii="Arial Narrow" w:hAnsi="Arial Narrow"/>
          <w:sz w:val="22"/>
          <w:szCs w:val="22"/>
        </w:rPr>
      </w:pPr>
      <w:r w:rsidRPr="007A24ED">
        <w:rPr>
          <w:rFonts w:ascii="Arial Narrow" w:hAnsi="Arial Narrow" w:cs="Arial"/>
          <w:sz w:val="22"/>
          <w:szCs w:val="22"/>
        </w:rPr>
        <w:t>Los procesos adelantados en la plataforma SECOP I deberán terminar sus etapas con el procedimiento anterior.</w:t>
      </w:r>
    </w:p>
    <w:p w14:paraId="77F904D6" w14:textId="77777777" w:rsidR="00C11B3F" w:rsidRPr="00E835FE" w:rsidRDefault="00FC4037" w:rsidP="00BE2B39">
      <w:pPr>
        <w:pStyle w:val="Ttulo3"/>
        <w:numPr>
          <w:ilvl w:val="0"/>
          <w:numId w:val="10"/>
        </w:numPr>
        <w:spacing w:after="240" w:line="240" w:lineRule="auto"/>
        <w:ind w:left="340" w:hanging="340"/>
        <w:rPr>
          <w:rFonts w:ascii="Arial Narrow" w:hAnsi="Arial Narrow"/>
          <w:sz w:val="22"/>
          <w:szCs w:val="22"/>
        </w:rPr>
      </w:pPr>
      <w:bookmarkStart w:id="50" w:name="_Toc32778306"/>
      <w:r w:rsidRPr="00E835FE">
        <w:rPr>
          <w:rFonts w:ascii="Arial Narrow" w:hAnsi="Arial Narrow"/>
          <w:sz w:val="22"/>
          <w:szCs w:val="22"/>
        </w:rPr>
        <w:t>FORMATOS, REGISTROS O REPORTES</w:t>
      </w:r>
      <w:bookmarkEnd w:id="50"/>
    </w:p>
    <w:p w14:paraId="273B81C0" w14:textId="0FBF1445" w:rsidR="00A71B6A" w:rsidRPr="00BE2B39" w:rsidRDefault="00BE2B39" w:rsidP="00BE2B39">
      <w:pPr>
        <w:pStyle w:val="Prrafodelista"/>
        <w:numPr>
          <w:ilvl w:val="0"/>
          <w:numId w:val="34"/>
        </w:numPr>
        <w:tabs>
          <w:tab w:val="left" w:pos="340"/>
        </w:tabs>
        <w:spacing w:before="120" w:after="120"/>
        <w:jc w:val="both"/>
        <w:rPr>
          <w:rFonts w:ascii="Arial Narrow" w:hAnsi="Arial Narrow"/>
          <w:sz w:val="22"/>
          <w:szCs w:val="22"/>
        </w:rPr>
      </w:pPr>
      <w:r>
        <w:rPr>
          <w:rFonts w:ascii="Arial Narrow" w:hAnsi="Arial Narrow"/>
          <w:sz w:val="22"/>
          <w:szCs w:val="22"/>
        </w:rPr>
        <w:t>N.A.</w:t>
      </w:r>
    </w:p>
    <w:p w14:paraId="3298D6E6" w14:textId="624AA3ED" w:rsidR="00AB0C48" w:rsidRPr="00BE2B39" w:rsidRDefault="00C878C8" w:rsidP="00BE2B39">
      <w:pPr>
        <w:pStyle w:val="Ttulo3"/>
        <w:numPr>
          <w:ilvl w:val="0"/>
          <w:numId w:val="10"/>
        </w:numPr>
        <w:spacing w:after="240" w:line="240" w:lineRule="auto"/>
        <w:ind w:left="340" w:hanging="340"/>
        <w:rPr>
          <w:rFonts w:ascii="Arial Narrow" w:hAnsi="Arial Narrow"/>
          <w:sz w:val="22"/>
          <w:szCs w:val="22"/>
        </w:rPr>
      </w:pPr>
      <w:bookmarkStart w:id="51" w:name="_Toc32778307"/>
      <w:r w:rsidRPr="00E835FE">
        <w:rPr>
          <w:rFonts w:ascii="Arial Narrow" w:hAnsi="Arial Narrow"/>
          <w:sz w:val="22"/>
          <w:szCs w:val="22"/>
        </w:rPr>
        <w:t>PROCEDIMIENTO PASO A PASO</w:t>
      </w:r>
      <w:bookmarkEnd w:id="51"/>
      <w:r w:rsidRPr="00E835FE">
        <w:rPr>
          <w:rFonts w:ascii="Arial Narrow" w:hAnsi="Arial Narrow"/>
          <w:sz w:val="22"/>
          <w:szCs w:val="22"/>
        </w:rPr>
        <w:t xml:space="preserve"> </w:t>
      </w:r>
    </w:p>
    <w:tbl>
      <w:tblPr>
        <w:tblW w:w="9493" w:type="dxa"/>
        <w:tblLayout w:type="fixed"/>
        <w:tblCellMar>
          <w:left w:w="70" w:type="dxa"/>
          <w:right w:w="70" w:type="dxa"/>
        </w:tblCellMar>
        <w:tblLook w:val="04A0" w:firstRow="1" w:lastRow="0" w:firstColumn="1" w:lastColumn="0" w:noHBand="0" w:noVBand="1"/>
      </w:tblPr>
      <w:tblGrid>
        <w:gridCol w:w="421"/>
        <w:gridCol w:w="3685"/>
        <w:gridCol w:w="1559"/>
        <w:gridCol w:w="1560"/>
        <w:gridCol w:w="2268"/>
      </w:tblGrid>
      <w:tr w:rsidR="00135403" w14:paraId="0831E682" w14:textId="77777777" w:rsidTr="00255E1F">
        <w:trPr>
          <w:trHeight w:val="465"/>
          <w:tblHeader/>
        </w:trPr>
        <w:tc>
          <w:tcPr>
            <w:tcW w:w="42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D22A4A4" w14:textId="77777777" w:rsidR="00135403" w:rsidRPr="006108C4" w:rsidRDefault="00135403" w:rsidP="00255E1F">
            <w:pPr>
              <w:spacing w:before="80" w:after="80"/>
              <w:jc w:val="center"/>
              <w:rPr>
                <w:rFonts w:ascii="Arial Narrow" w:hAnsi="Arial Narrow" w:cs="Arial"/>
                <w:b/>
                <w:bCs/>
                <w:sz w:val="20"/>
                <w:szCs w:val="20"/>
              </w:rPr>
            </w:pPr>
            <w:r w:rsidRPr="006108C4">
              <w:rPr>
                <w:rFonts w:ascii="Arial Narrow" w:hAnsi="Arial Narrow" w:cs="Arial"/>
                <w:b/>
                <w:bCs/>
                <w:sz w:val="20"/>
                <w:szCs w:val="20"/>
              </w:rPr>
              <w:t>No.</w:t>
            </w:r>
          </w:p>
        </w:tc>
        <w:tc>
          <w:tcPr>
            <w:tcW w:w="3685" w:type="dxa"/>
            <w:tcBorders>
              <w:top w:val="single" w:sz="4" w:space="0" w:color="auto"/>
              <w:left w:val="nil"/>
              <w:bottom w:val="single" w:sz="4" w:space="0" w:color="auto"/>
              <w:right w:val="single" w:sz="4" w:space="0" w:color="auto"/>
            </w:tcBorders>
            <w:shd w:val="clear" w:color="000000" w:fill="DDD9C4"/>
            <w:noWrap/>
            <w:vAlign w:val="center"/>
            <w:hideMark/>
          </w:tcPr>
          <w:p w14:paraId="1513132E" w14:textId="51DB8693" w:rsidR="00135403" w:rsidRPr="006108C4" w:rsidRDefault="00135403" w:rsidP="00255E1F">
            <w:pPr>
              <w:spacing w:before="80" w:after="80"/>
              <w:jc w:val="center"/>
              <w:rPr>
                <w:rFonts w:ascii="Arial Narrow" w:hAnsi="Arial Narrow" w:cs="Arial"/>
                <w:b/>
                <w:bCs/>
                <w:sz w:val="20"/>
                <w:szCs w:val="20"/>
              </w:rPr>
            </w:pPr>
            <w:r w:rsidRPr="006108C4">
              <w:rPr>
                <w:rFonts w:ascii="Arial Narrow" w:hAnsi="Arial Narrow" w:cs="Arial"/>
                <w:b/>
                <w:bCs/>
                <w:sz w:val="20"/>
                <w:szCs w:val="20"/>
              </w:rPr>
              <w:t>ACTIVIDAD</w:t>
            </w:r>
          </w:p>
        </w:tc>
        <w:tc>
          <w:tcPr>
            <w:tcW w:w="1559" w:type="dxa"/>
            <w:tcBorders>
              <w:top w:val="single" w:sz="4" w:space="0" w:color="auto"/>
              <w:left w:val="nil"/>
              <w:bottom w:val="single" w:sz="4" w:space="0" w:color="auto"/>
              <w:right w:val="single" w:sz="4" w:space="0" w:color="auto"/>
            </w:tcBorders>
            <w:shd w:val="clear" w:color="000000" w:fill="DDD9C4"/>
            <w:noWrap/>
            <w:vAlign w:val="center"/>
            <w:hideMark/>
          </w:tcPr>
          <w:p w14:paraId="17D378E5" w14:textId="77777777" w:rsidR="00135403" w:rsidRPr="006108C4" w:rsidRDefault="00135403" w:rsidP="00255E1F">
            <w:pPr>
              <w:spacing w:before="80" w:after="80"/>
              <w:jc w:val="center"/>
              <w:rPr>
                <w:rFonts w:ascii="Arial Narrow" w:hAnsi="Arial Narrow" w:cs="Arial"/>
                <w:b/>
                <w:bCs/>
                <w:sz w:val="20"/>
                <w:szCs w:val="20"/>
              </w:rPr>
            </w:pPr>
            <w:r w:rsidRPr="006108C4">
              <w:rPr>
                <w:rFonts w:ascii="Arial Narrow" w:hAnsi="Arial Narrow" w:cs="Arial"/>
                <w:b/>
                <w:bCs/>
                <w:sz w:val="20"/>
                <w:szCs w:val="20"/>
              </w:rPr>
              <w:t xml:space="preserve">RESPONSABLE </w:t>
            </w:r>
          </w:p>
        </w:tc>
        <w:tc>
          <w:tcPr>
            <w:tcW w:w="1560" w:type="dxa"/>
            <w:tcBorders>
              <w:top w:val="single" w:sz="4" w:space="0" w:color="auto"/>
              <w:left w:val="nil"/>
              <w:bottom w:val="single" w:sz="4" w:space="0" w:color="auto"/>
              <w:right w:val="single" w:sz="4" w:space="0" w:color="auto"/>
            </w:tcBorders>
            <w:shd w:val="clear" w:color="auto" w:fill="DDDAC4"/>
            <w:noWrap/>
            <w:vAlign w:val="center"/>
            <w:hideMark/>
          </w:tcPr>
          <w:p w14:paraId="26D1B0F9" w14:textId="77777777" w:rsidR="00135403" w:rsidRPr="00BE2B39" w:rsidRDefault="00135403" w:rsidP="00255E1F">
            <w:pPr>
              <w:spacing w:before="80" w:after="80"/>
              <w:jc w:val="center"/>
              <w:rPr>
                <w:rFonts w:ascii="Arial Narrow" w:hAnsi="Arial Narrow" w:cs="Arial"/>
                <w:b/>
                <w:bCs/>
                <w:sz w:val="20"/>
                <w:szCs w:val="20"/>
              </w:rPr>
            </w:pPr>
            <w:r w:rsidRPr="00BE2B39">
              <w:rPr>
                <w:rFonts w:ascii="Arial Narrow" w:hAnsi="Arial Narrow" w:cs="Arial"/>
                <w:b/>
                <w:bCs/>
                <w:sz w:val="20"/>
                <w:szCs w:val="20"/>
              </w:rPr>
              <w:t>DOCUMENTOS DE REFERENCIA</w:t>
            </w:r>
          </w:p>
        </w:tc>
        <w:tc>
          <w:tcPr>
            <w:tcW w:w="2268" w:type="dxa"/>
            <w:tcBorders>
              <w:top w:val="single" w:sz="4" w:space="0" w:color="auto"/>
              <w:left w:val="nil"/>
              <w:bottom w:val="single" w:sz="4" w:space="0" w:color="auto"/>
              <w:right w:val="single" w:sz="4" w:space="0" w:color="auto"/>
            </w:tcBorders>
            <w:shd w:val="clear" w:color="000000" w:fill="DDD9C4"/>
            <w:noWrap/>
            <w:vAlign w:val="center"/>
            <w:hideMark/>
          </w:tcPr>
          <w:p w14:paraId="557F1ABF" w14:textId="77777777" w:rsidR="00135403" w:rsidRPr="006108C4" w:rsidRDefault="00135403" w:rsidP="00255E1F">
            <w:pPr>
              <w:spacing w:before="80" w:after="80"/>
              <w:jc w:val="center"/>
              <w:rPr>
                <w:rFonts w:ascii="Arial Narrow" w:hAnsi="Arial Narrow" w:cs="Arial"/>
                <w:b/>
                <w:bCs/>
                <w:sz w:val="20"/>
                <w:szCs w:val="20"/>
              </w:rPr>
            </w:pPr>
            <w:r w:rsidRPr="006108C4">
              <w:rPr>
                <w:rFonts w:ascii="Arial Narrow" w:hAnsi="Arial Narrow" w:cs="Arial"/>
                <w:b/>
                <w:bCs/>
                <w:sz w:val="20"/>
                <w:szCs w:val="20"/>
              </w:rPr>
              <w:t>PUNTOS DE CONTROL</w:t>
            </w:r>
          </w:p>
        </w:tc>
      </w:tr>
      <w:tr w:rsidR="00135403" w14:paraId="31717796" w14:textId="77777777" w:rsidTr="007A24ED">
        <w:trPr>
          <w:trHeight w:val="258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D64C9E3"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1</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AFC0262" w14:textId="189C996B" w:rsidR="00255E1F" w:rsidRDefault="00A31F8F" w:rsidP="00255E1F">
            <w:pPr>
              <w:spacing w:before="80" w:after="80"/>
              <w:jc w:val="both"/>
              <w:rPr>
                <w:rFonts w:ascii="Arial Narrow" w:hAnsi="Arial Narrow" w:cs="Arial"/>
                <w:sz w:val="20"/>
                <w:szCs w:val="20"/>
              </w:rPr>
            </w:pPr>
            <w:r w:rsidRPr="009135AD">
              <w:rPr>
                <w:rFonts w:ascii="Arial Narrow" w:hAnsi="Arial Narrow" w:cs="Arial"/>
                <w:sz w:val="20"/>
                <w:szCs w:val="20"/>
              </w:rPr>
              <w:t>Remitir</w:t>
            </w:r>
            <w:r w:rsidR="00A54685">
              <w:rPr>
                <w:rFonts w:ascii="Arial Narrow" w:hAnsi="Arial Narrow" w:cs="Arial"/>
                <w:sz w:val="20"/>
                <w:szCs w:val="20"/>
              </w:rPr>
              <w:t xml:space="preserve"> al Grupo de Contratos</w:t>
            </w:r>
            <w:r w:rsidRPr="009135AD">
              <w:rPr>
                <w:rFonts w:ascii="Arial Narrow" w:hAnsi="Arial Narrow" w:cs="Arial"/>
                <w:sz w:val="20"/>
                <w:szCs w:val="20"/>
              </w:rPr>
              <w:t xml:space="preserve"> </w:t>
            </w:r>
            <w:r>
              <w:rPr>
                <w:rFonts w:ascii="Arial Narrow" w:hAnsi="Arial Narrow" w:cs="Arial"/>
                <w:sz w:val="20"/>
                <w:szCs w:val="20"/>
              </w:rPr>
              <w:t xml:space="preserve">por Orfeo </w:t>
            </w:r>
            <w:r w:rsidRPr="009135AD">
              <w:rPr>
                <w:rFonts w:ascii="Arial Narrow" w:hAnsi="Arial Narrow" w:cs="Arial"/>
                <w:sz w:val="20"/>
                <w:szCs w:val="20"/>
              </w:rPr>
              <w:t xml:space="preserve">el estudio previo conforme </w:t>
            </w:r>
            <w:r>
              <w:rPr>
                <w:rFonts w:ascii="Arial Narrow" w:hAnsi="Arial Narrow" w:cs="Arial"/>
                <w:sz w:val="20"/>
                <w:szCs w:val="20"/>
              </w:rPr>
              <w:t xml:space="preserve">a </w:t>
            </w:r>
            <w:r w:rsidRPr="009135AD">
              <w:rPr>
                <w:rFonts w:ascii="Arial Narrow" w:hAnsi="Arial Narrow" w:cs="Arial"/>
                <w:sz w:val="20"/>
                <w:szCs w:val="20"/>
              </w:rPr>
              <w:t>lo dispuesto en el artículo 2.2.1.1.2.1.1 del Decreto 1082 de 2015 junto con el análisis del sector elaborado de acuerdo al formato existente</w:t>
            </w:r>
            <w:r>
              <w:rPr>
                <w:rFonts w:ascii="Arial Narrow" w:hAnsi="Arial Narrow" w:cs="Arial"/>
                <w:sz w:val="20"/>
                <w:szCs w:val="20"/>
              </w:rPr>
              <w:t xml:space="preserve"> y demás documentación requerida conforme a la </w:t>
            </w:r>
            <w:r w:rsidRPr="009135AD">
              <w:rPr>
                <w:rFonts w:ascii="Arial Narrow" w:hAnsi="Arial Narrow" w:cs="Arial"/>
                <w:sz w:val="20"/>
                <w:szCs w:val="20"/>
              </w:rPr>
              <w:t xml:space="preserve">circular </w:t>
            </w:r>
            <w:r>
              <w:rPr>
                <w:rFonts w:ascii="Arial Narrow" w:hAnsi="Arial Narrow" w:cs="Arial"/>
                <w:sz w:val="20"/>
                <w:szCs w:val="20"/>
              </w:rPr>
              <w:t xml:space="preserve">o lineamientos </w:t>
            </w:r>
            <w:r w:rsidRPr="009135AD">
              <w:rPr>
                <w:rFonts w:ascii="Arial Narrow" w:hAnsi="Arial Narrow" w:cs="Arial"/>
                <w:sz w:val="20"/>
                <w:szCs w:val="20"/>
              </w:rPr>
              <w:t>emitid</w:t>
            </w:r>
            <w:r>
              <w:rPr>
                <w:rFonts w:ascii="Arial Narrow" w:hAnsi="Arial Narrow" w:cs="Arial"/>
                <w:sz w:val="20"/>
                <w:szCs w:val="20"/>
              </w:rPr>
              <w:t>os</w:t>
            </w:r>
            <w:r w:rsidRPr="009135AD">
              <w:rPr>
                <w:rFonts w:ascii="Arial Narrow" w:hAnsi="Arial Narrow" w:cs="Arial"/>
                <w:sz w:val="20"/>
                <w:szCs w:val="20"/>
              </w:rPr>
              <w:t xml:space="preserve"> por la entidad para tal fin y </w:t>
            </w:r>
            <w:r>
              <w:rPr>
                <w:rFonts w:ascii="Arial Narrow" w:hAnsi="Arial Narrow" w:cs="Arial"/>
                <w:sz w:val="20"/>
                <w:szCs w:val="20"/>
              </w:rPr>
              <w:t xml:space="preserve">por </w:t>
            </w:r>
            <w:r w:rsidRPr="009135AD">
              <w:rPr>
                <w:rFonts w:ascii="Arial Narrow" w:hAnsi="Arial Narrow" w:cs="Arial"/>
                <w:sz w:val="20"/>
                <w:szCs w:val="20"/>
              </w:rPr>
              <w:t>Colombia Compra Eficiente.</w:t>
            </w:r>
          </w:p>
          <w:p w14:paraId="1EA2004E" w14:textId="7D27F3A7" w:rsidR="00135403" w:rsidRPr="006108C4" w:rsidRDefault="00135403" w:rsidP="001822A4">
            <w:pPr>
              <w:spacing w:before="80" w:after="80"/>
              <w:jc w:val="both"/>
              <w:rPr>
                <w:rFonts w:ascii="Arial Narrow" w:hAnsi="Arial Narrow" w:cs="Arial"/>
                <w:sz w:val="20"/>
                <w:szCs w:val="20"/>
              </w:rPr>
            </w:pPr>
            <w:r w:rsidRPr="006108C4">
              <w:rPr>
                <w:rFonts w:ascii="Arial Narrow" w:hAnsi="Arial Narrow" w:cs="Arial"/>
                <w:b/>
                <w:bCs/>
                <w:sz w:val="20"/>
                <w:szCs w:val="20"/>
              </w:rPr>
              <w:t xml:space="preserve">Nota: </w:t>
            </w:r>
            <w:r w:rsidR="001822A4">
              <w:rPr>
                <w:rFonts w:ascii="Arial Narrow" w:hAnsi="Arial Narrow" w:cs="Arial"/>
                <w:sz w:val="20"/>
                <w:szCs w:val="20"/>
              </w:rPr>
              <w:t>e</w:t>
            </w:r>
            <w:r w:rsidRPr="006108C4">
              <w:rPr>
                <w:rFonts w:ascii="Arial Narrow" w:hAnsi="Arial Narrow" w:cs="Arial"/>
                <w:sz w:val="20"/>
                <w:szCs w:val="20"/>
              </w:rPr>
              <w:t>l proceso se realiza conforme a la circular de cuantías establecida para cada vigencia fiscal.</w:t>
            </w:r>
          </w:p>
        </w:tc>
        <w:tc>
          <w:tcPr>
            <w:tcW w:w="1559" w:type="dxa"/>
            <w:tcBorders>
              <w:top w:val="nil"/>
              <w:left w:val="nil"/>
              <w:bottom w:val="single" w:sz="4" w:space="0" w:color="auto"/>
              <w:right w:val="single" w:sz="4" w:space="0" w:color="auto"/>
            </w:tcBorders>
            <w:shd w:val="clear" w:color="000000" w:fill="FFFFFF"/>
            <w:vAlign w:val="center"/>
            <w:hideMark/>
          </w:tcPr>
          <w:p w14:paraId="22945278" w14:textId="77777777" w:rsidR="00255E1F"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Central: Unidad Ejecutora.</w:t>
            </w:r>
          </w:p>
          <w:p w14:paraId="47F2671C" w14:textId="0F3FAE53" w:rsidR="00135403" w:rsidRPr="006108C4"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Territorial:</w:t>
            </w:r>
            <w:r w:rsidR="00255E1F">
              <w:rPr>
                <w:rFonts w:ascii="Arial Narrow" w:hAnsi="Arial Narrow" w:cs="Arial"/>
                <w:sz w:val="20"/>
                <w:szCs w:val="20"/>
              </w:rPr>
              <w:t xml:space="preserve"> </w:t>
            </w:r>
            <w:r w:rsidRPr="006108C4">
              <w:rPr>
                <w:rFonts w:ascii="Arial Narrow" w:hAnsi="Arial Narrow" w:cs="Arial"/>
                <w:sz w:val="20"/>
                <w:szCs w:val="20"/>
              </w:rPr>
              <w:t>Dirección Territorial o área protegida.</w:t>
            </w:r>
          </w:p>
        </w:tc>
        <w:tc>
          <w:tcPr>
            <w:tcW w:w="1560" w:type="dxa"/>
            <w:tcBorders>
              <w:top w:val="nil"/>
              <w:left w:val="nil"/>
              <w:bottom w:val="single" w:sz="4" w:space="0" w:color="auto"/>
              <w:right w:val="single" w:sz="4" w:space="0" w:color="auto"/>
            </w:tcBorders>
            <w:shd w:val="clear" w:color="auto" w:fill="auto"/>
            <w:vAlign w:val="center"/>
            <w:hideMark/>
          </w:tcPr>
          <w:p w14:paraId="396A6E8B" w14:textId="25DF8C7F" w:rsidR="00135403" w:rsidRPr="00BE2B39" w:rsidRDefault="00A31F8F" w:rsidP="00255E1F">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1E4D6B">
              <w:rPr>
                <w:rFonts w:ascii="Arial Narrow" w:hAnsi="Arial Narrow" w:cs="Arial"/>
                <w:sz w:val="20"/>
                <w:szCs w:val="20"/>
              </w:rPr>
              <w:t>C</w:t>
            </w:r>
            <w:r>
              <w:rPr>
                <w:rFonts w:ascii="Arial Narrow" w:hAnsi="Arial Narrow" w:cs="Arial"/>
                <w:sz w:val="20"/>
                <w:szCs w:val="20"/>
              </w:rPr>
              <w:t>ontratación y Guía supervisión</w:t>
            </w:r>
            <w:r w:rsidR="001E4D6B">
              <w:rPr>
                <w:rFonts w:ascii="Arial Narrow" w:hAnsi="Arial Narrow" w:cs="Arial"/>
                <w:sz w:val="20"/>
                <w:szCs w:val="20"/>
              </w:rPr>
              <w:t xml:space="preserve"> e interventoría.</w:t>
            </w:r>
            <w:r>
              <w:rPr>
                <w:rFonts w:ascii="Arial Narrow" w:hAnsi="Arial Narrow" w:cs="Arial"/>
                <w:sz w:val="20"/>
                <w:szCs w:val="20"/>
              </w:rPr>
              <w:t xml:space="preserve"> </w:t>
            </w:r>
          </w:p>
        </w:tc>
        <w:tc>
          <w:tcPr>
            <w:tcW w:w="2268" w:type="dxa"/>
            <w:tcBorders>
              <w:top w:val="nil"/>
              <w:left w:val="nil"/>
              <w:bottom w:val="single" w:sz="4" w:space="0" w:color="auto"/>
              <w:right w:val="single" w:sz="4" w:space="0" w:color="auto"/>
            </w:tcBorders>
            <w:shd w:val="clear" w:color="000000" w:fill="FFFFFF"/>
            <w:hideMark/>
          </w:tcPr>
          <w:p w14:paraId="431FAE60" w14:textId="11AC673E" w:rsidR="00135403" w:rsidRPr="006108C4" w:rsidRDefault="00DE123B" w:rsidP="00255E1F">
            <w:pPr>
              <w:spacing w:before="80" w:after="80"/>
              <w:jc w:val="both"/>
              <w:rPr>
                <w:rFonts w:ascii="Arial Narrow" w:hAnsi="Arial Narrow" w:cs="Arial"/>
                <w:sz w:val="20"/>
                <w:szCs w:val="20"/>
              </w:rPr>
            </w:pPr>
            <w:r>
              <w:rPr>
                <w:rFonts w:ascii="Arial Narrow" w:hAnsi="Arial Narrow" w:cs="Arial"/>
                <w:sz w:val="20"/>
                <w:szCs w:val="20"/>
              </w:rPr>
              <w:t>E</w:t>
            </w:r>
            <w:r w:rsidR="00135403" w:rsidRPr="006108C4">
              <w:rPr>
                <w:rFonts w:ascii="Arial Narrow" w:hAnsi="Arial Narrow" w:cs="Arial"/>
                <w:sz w:val="20"/>
                <w:szCs w:val="20"/>
              </w:rPr>
              <w:t>studio previo suscrito por el subdirector, coordinador de grupo, jefe de oficina, director territorial o jefe del área protegida,</w:t>
            </w:r>
            <w:r w:rsidR="00A31F8F">
              <w:rPr>
                <w:rFonts w:ascii="Arial Narrow" w:hAnsi="Arial Narrow" w:cs="Arial"/>
                <w:sz w:val="20"/>
                <w:szCs w:val="20"/>
              </w:rPr>
              <w:t xml:space="preserve"> </w:t>
            </w:r>
            <w:r w:rsidR="00135403" w:rsidRPr="006108C4">
              <w:rPr>
                <w:rFonts w:ascii="Arial Narrow" w:hAnsi="Arial Narrow" w:cs="Arial"/>
                <w:sz w:val="20"/>
                <w:szCs w:val="20"/>
              </w:rPr>
              <w:t xml:space="preserve">según corresponda. </w:t>
            </w:r>
          </w:p>
        </w:tc>
      </w:tr>
      <w:tr w:rsidR="00135403" w14:paraId="5A73B628" w14:textId="77777777" w:rsidTr="007A24ED">
        <w:trPr>
          <w:trHeight w:val="178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057FBE"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2</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3029C74" w14:textId="332925E9"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 xml:space="preserve">Crear y Publicar la </w:t>
            </w:r>
            <w:r w:rsidR="007A24ED">
              <w:rPr>
                <w:rFonts w:ascii="Arial Narrow" w:hAnsi="Arial Narrow" w:cs="Arial"/>
                <w:sz w:val="20"/>
                <w:szCs w:val="20"/>
              </w:rPr>
              <w:t>i</w:t>
            </w:r>
            <w:r w:rsidRPr="006108C4">
              <w:rPr>
                <w:rFonts w:ascii="Arial Narrow" w:hAnsi="Arial Narrow" w:cs="Arial"/>
                <w:sz w:val="20"/>
                <w:szCs w:val="20"/>
              </w:rPr>
              <w:t>nvitación Pública en la plataforma del SECOP II o herramienta que el Gobierno Nacional determine para el efecto,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6638CE5A" w14:textId="24324E6A" w:rsidR="00135403" w:rsidRPr="006108C4"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Central: Unidad Ejecutora.</w:t>
            </w:r>
            <w:r w:rsidR="007A24ED">
              <w:rPr>
                <w:rFonts w:ascii="Arial Narrow" w:hAnsi="Arial Narrow" w:cs="Arial"/>
                <w:sz w:val="20"/>
                <w:szCs w:val="20"/>
              </w:rPr>
              <w:t xml:space="preserve"> </w:t>
            </w: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2C514616" w14:textId="5E7A672D" w:rsidR="00135403" w:rsidRPr="00BE2B39" w:rsidRDefault="00FA6B63"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hideMark/>
          </w:tcPr>
          <w:p w14:paraId="44FA8957" w14:textId="1F8DC2CC" w:rsidR="00135403" w:rsidRPr="006108C4" w:rsidRDefault="007A24ED" w:rsidP="00255E1F">
            <w:pPr>
              <w:spacing w:before="80" w:after="80"/>
              <w:jc w:val="both"/>
              <w:rPr>
                <w:rFonts w:ascii="Arial Narrow" w:hAnsi="Arial Narrow" w:cs="Arial"/>
                <w:sz w:val="20"/>
                <w:szCs w:val="20"/>
              </w:rPr>
            </w:pPr>
            <w:r>
              <w:rPr>
                <w:rFonts w:ascii="Arial Narrow" w:hAnsi="Arial Narrow" w:cs="Arial"/>
                <w:sz w:val="20"/>
                <w:szCs w:val="20"/>
              </w:rPr>
              <w:t xml:space="preserve">Invitación pública publicada en el </w:t>
            </w:r>
            <w:r w:rsidR="00DE123B" w:rsidRPr="009135AD">
              <w:rPr>
                <w:rFonts w:ascii="Arial Narrow" w:hAnsi="Arial Narrow" w:cs="Arial"/>
                <w:sz w:val="20"/>
                <w:szCs w:val="20"/>
              </w:rPr>
              <w:t>Portal Único de Contratación (SECOP)</w:t>
            </w:r>
          </w:p>
        </w:tc>
      </w:tr>
      <w:tr w:rsidR="00135403" w14:paraId="3F53C168" w14:textId="77777777" w:rsidTr="007A24ED">
        <w:trPr>
          <w:trHeight w:val="196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41FF76C"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3</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963AA5F" w14:textId="2D2DC3A3"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Elaborar y publicar en la plataforma del SECOP II o herramienta que el Gobierno Nacional determine para el efecto, las respuestas a las observaciones presentadas a la invitación pública, cuando a ello hubiera lugar,</w:t>
            </w:r>
            <w:r w:rsidR="00A31F8F">
              <w:rPr>
                <w:rFonts w:ascii="Arial Narrow" w:hAnsi="Arial Narrow" w:cs="Arial"/>
                <w:sz w:val="20"/>
                <w:szCs w:val="20"/>
              </w:rPr>
              <w:t xml:space="preserve"> y el aviso de convocatoria o no a </w:t>
            </w:r>
            <w:proofErr w:type="spellStart"/>
            <w:r w:rsidR="00A31F8F">
              <w:rPr>
                <w:rFonts w:ascii="Arial Narrow" w:hAnsi="Arial Narrow" w:cs="Arial"/>
                <w:sz w:val="20"/>
                <w:szCs w:val="20"/>
              </w:rPr>
              <w:t>Mipymes</w:t>
            </w:r>
            <w:proofErr w:type="spellEnd"/>
            <w:r w:rsidRPr="006108C4">
              <w:rPr>
                <w:rFonts w:ascii="Arial Narrow" w:hAnsi="Arial Narrow" w:cs="Arial"/>
                <w:sz w:val="20"/>
                <w:szCs w:val="20"/>
              </w:rPr>
              <w:t xml:space="preserve">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781A502D" w14:textId="77777777" w:rsidR="002F2F7D"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r w:rsidRPr="006108C4">
              <w:rPr>
                <w:rFonts w:ascii="Arial Narrow" w:hAnsi="Arial Narrow" w:cs="Arial"/>
                <w:sz w:val="20"/>
                <w:szCs w:val="20"/>
              </w:rPr>
              <w:br w:type="page"/>
            </w:r>
          </w:p>
          <w:p w14:paraId="7F8BEAEE" w14:textId="239A78D5" w:rsidR="00135403" w:rsidRPr="006108C4"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35C0A65F" w14:textId="39274A7B" w:rsidR="00135403" w:rsidRPr="00BE2B39" w:rsidRDefault="00DE123B"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3ABB525E" w14:textId="71665C29" w:rsidR="00135403" w:rsidRPr="006108C4" w:rsidRDefault="00135403" w:rsidP="007A24ED">
            <w:pPr>
              <w:spacing w:before="80" w:after="80"/>
              <w:jc w:val="both"/>
              <w:rPr>
                <w:rFonts w:ascii="Arial Narrow" w:hAnsi="Arial Narrow" w:cs="Arial"/>
                <w:sz w:val="20"/>
                <w:szCs w:val="20"/>
              </w:rPr>
            </w:pPr>
            <w:r w:rsidRPr="006108C4">
              <w:rPr>
                <w:rFonts w:ascii="Arial Narrow" w:hAnsi="Arial Narrow" w:cs="Arial"/>
                <w:sz w:val="20"/>
                <w:szCs w:val="20"/>
              </w:rPr>
              <w:br w:type="page"/>
            </w:r>
            <w:r w:rsidR="00C60993">
              <w:rPr>
                <w:rFonts w:ascii="Arial Narrow" w:hAnsi="Arial Narrow" w:cs="Arial"/>
                <w:sz w:val="20"/>
                <w:szCs w:val="20"/>
              </w:rPr>
              <w:t>Respuesta a las observaciones publicadas en el p</w:t>
            </w:r>
            <w:r w:rsidR="00DE123B" w:rsidRPr="009135AD">
              <w:rPr>
                <w:rFonts w:ascii="Arial Narrow" w:hAnsi="Arial Narrow" w:cs="Arial"/>
                <w:sz w:val="20"/>
                <w:szCs w:val="20"/>
              </w:rPr>
              <w:t>ortal Único de Contratación (SECOP)</w:t>
            </w:r>
            <w:r w:rsidR="00A31F8F">
              <w:rPr>
                <w:rFonts w:ascii="Arial Narrow" w:hAnsi="Arial Narrow" w:cs="Arial"/>
                <w:sz w:val="20"/>
                <w:szCs w:val="20"/>
              </w:rPr>
              <w:t>.</w:t>
            </w:r>
          </w:p>
        </w:tc>
      </w:tr>
      <w:tr w:rsidR="00135403" w14:paraId="3795113F" w14:textId="77777777" w:rsidTr="007A24ED">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B2F83C8"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lastRenderedPageBreak/>
              <w:t>4</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38DF50B2" w14:textId="57F050C1"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Elaborar y publicar en la plataforma SECOP II o herramienta que el Gobierno Nacional determine para el efecto, las adendas para aclarar, corregir o modificar la invitación pública, cuando a ello hubiere lugar,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52779E3E" w14:textId="77777777" w:rsidR="007A24ED"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6A27899D" w14:textId="2B82C2CB" w:rsidR="00135403" w:rsidRPr="006108C4" w:rsidRDefault="00135403" w:rsidP="007A24ED">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09D73AC8" w14:textId="31039B05" w:rsidR="00135403" w:rsidRPr="00BE2B39" w:rsidRDefault="00DE123B"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20F6CFF8" w14:textId="5280F132" w:rsidR="00135403" w:rsidRPr="006108C4" w:rsidRDefault="00C60993" w:rsidP="00255E1F">
            <w:pPr>
              <w:spacing w:before="80" w:after="80"/>
              <w:jc w:val="both"/>
              <w:rPr>
                <w:rFonts w:ascii="Arial Narrow" w:hAnsi="Arial Narrow" w:cs="Arial"/>
                <w:sz w:val="20"/>
                <w:szCs w:val="20"/>
              </w:rPr>
            </w:pPr>
            <w:r>
              <w:rPr>
                <w:rFonts w:ascii="Arial Narrow" w:hAnsi="Arial Narrow" w:cs="Arial"/>
                <w:sz w:val="20"/>
                <w:szCs w:val="20"/>
              </w:rPr>
              <w:t>Modificaciones, aclaraciones u otro publicado en el p</w:t>
            </w:r>
            <w:r w:rsidR="00DE123B" w:rsidRPr="009135AD">
              <w:rPr>
                <w:rFonts w:ascii="Arial Narrow" w:hAnsi="Arial Narrow" w:cs="Arial"/>
                <w:sz w:val="20"/>
                <w:szCs w:val="20"/>
              </w:rPr>
              <w:t>ortal Único de Contratación (SECOP)</w:t>
            </w:r>
            <w:r>
              <w:rPr>
                <w:rFonts w:ascii="Arial Narrow" w:hAnsi="Arial Narrow" w:cs="Arial"/>
                <w:sz w:val="20"/>
                <w:szCs w:val="20"/>
              </w:rPr>
              <w:t>, en caso de aplicar.</w:t>
            </w:r>
          </w:p>
        </w:tc>
      </w:tr>
      <w:tr w:rsidR="00135403" w14:paraId="050B680B" w14:textId="77777777" w:rsidTr="007A24ED">
        <w:trPr>
          <w:trHeight w:val="204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C3618B"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5</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E821286" w14:textId="00BB57EA" w:rsidR="00135403" w:rsidRPr="006108C4" w:rsidRDefault="007A24ED" w:rsidP="00255E1F">
            <w:pPr>
              <w:spacing w:before="80" w:after="80"/>
              <w:jc w:val="both"/>
              <w:rPr>
                <w:rFonts w:ascii="Arial Narrow" w:hAnsi="Arial Narrow" w:cs="Arial"/>
                <w:sz w:val="20"/>
                <w:szCs w:val="20"/>
              </w:rPr>
            </w:pPr>
            <w:r>
              <w:rPr>
                <w:rFonts w:ascii="Arial Narrow" w:hAnsi="Arial Narrow" w:cs="Arial"/>
                <w:sz w:val="20"/>
                <w:szCs w:val="20"/>
              </w:rPr>
              <w:t>Recibir</w:t>
            </w:r>
            <w:r w:rsidRPr="006108C4">
              <w:rPr>
                <w:rFonts w:ascii="Arial Narrow" w:hAnsi="Arial Narrow" w:cs="Arial"/>
                <w:sz w:val="20"/>
                <w:szCs w:val="20"/>
              </w:rPr>
              <w:t xml:space="preserve"> </w:t>
            </w:r>
            <w:r w:rsidR="00135403" w:rsidRPr="006108C4">
              <w:rPr>
                <w:rFonts w:ascii="Arial Narrow" w:hAnsi="Arial Narrow" w:cs="Arial"/>
                <w:sz w:val="20"/>
                <w:szCs w:val="20"/>
              </w:rPr>
              <w:t xml:space="preserve">las ofertas, generar y publicar el cierre del proceso en la plataforma del SECOP II o herramienta que el Gobierno Nacional determine para el efecto, de conformidad con el </w:t>
            </w:r>
            <w:r w:rsidR="001822A4">
              <w:rPr>
                <w:rFonts w:ascii="Arial Narrow" w:hAnsi="Arial Narrow" w:cs="Arial"/>
                <w:sz w:val="20"/>
                <w:szCs w:val="20"/>
              </w:rPr>
              <w:t>c</w:t>
            </w:r>
            <w:r w:rsidR="00135403" w:rsidRPr="006108C4">
              <w:rPr>
                <w:rFonts w:ascii="Arial Narrow" w:hAnsi="Arial Narrow" w:cs="Arial"/>
                <w:sz w:val="20"/>
                <w:szCs w:val="20"/>
              </w:rPr>
              <w:t>ronograma establecido,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7F9663FC" w14:textId="77777777" w:rsidR="00255E1F"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7F0D706C" w14:textId="31670540"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419EE5F5" w14:textId="2AC3FE60" w:rsidR="00135403" w:rsidRPr="00BE2B39" w:rsidRDefault="00DE123B"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07E8B243" w14:textId="7740904E" w:rsidR="00135403" w:rsidRPr="006108C4" w:rsidRDefault="00C60993" w:rsidP="007A24ED">
            <w:pPr>
              <w:spacing w:before="80" w:after="80"/>
              <w:jc w:val="both"/>
              <w:rPr>
                <w:rFonts w:ascii="Arial Narrow" w:hAnsi="Arial Narrow" w:cs="Arial"/>
                <w:sz w:val="20"/>
                <w:szCs w:val="20"/>
              </w:rPr>
            </w:pPr>
            <w:r>
              <w:rPr>
                <w:rFonts w:ascii="Arial Narrow" w:hAnsi="Arial Narrow" w:cs="Arial"/>
                <w:sz w:val="20"/>
                <w:szCs w:val="20"/>
              </w:rPr>
              <w:t>Cierre publicado en</w:t>
            </w:r>
            <w:r w:rsidR="00A31F8F">
              <w:rPr>
                <w:rFonts w:ascii="Arial Narrow" w:hAnsi="Arial Narrow" w:cs="Arial"/>
                <w:sz w:val="20"/>
                <w:szCs w:val="20"/>
              </w:rPr>
              <w:t xml:space="preserve"> </w:t>
            </w:r>
            <w:r>
              <w:rPr>
                <w:rFonts w:ascii="Arial Narrow" w:hAnsi="Arial Narrow" w:cs="Arial"/>
                <w:sz w:val="20"/>
                <w:szCs w:val="20"/>
              </w:rPr>
              <w:t>el p</w:t>
            </w:r>
            <w:r w:rsidR="00DE123B" w:rsidRPr="009135AD">
              <w:rPr>
                <w:rFonts w:ascii="Arial Narrow" w:hAnsi="Arial Narrow" w:cs="Arial"/>
                <w:sz w:val="20"/>
                <w:szCs w:val="20"/>
              </w:rPr>
              <w:t>ortal Único de Contratación (SECOP)</w:t>
            </w:r>
          </w:p>
        </w:tc>
      </w:tr>
      <w:tr w:rsidR="00135403" w14:paraId="5B1D3C1E" w14:textId="77777777" w:rsidTr="007A24ED">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1A32E36"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6</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0C309AA6" w14:textId="2E28646E" w:rsidR="00135403" w:rsidRPr="006108C4" w:rsidRDefault="00135403" w:rsidP="001822A4">
            <w:pPr>
              <w:spacing w:before="80" w:after="80"/>
              <w:jc w:val="both"/>
              <w:rPr>
                <w:rFonts w:ascii="Arial Narrow" w:hAnsi="Arial Narrow" w:cs="Arial"/>
                <w:sz w:val="20"/>
                <w:szCs w:val="20"/>
              </w:rPr>
            </w:pPr>
            <w:r w:rsidRPr="006108C4">
              <w:rPr>
                <w:rFonts w:ascii="Arial Narrow" w:hAnsi="Arial Narrow" w:cs="Arial"/>
                <w:sz w:val="20"/>
                <w:szCs w:val="20"/>
              </w:rPr>
              <w:t>Revisar las ofertas</w:t>
            </w:r>
            <w:r w:rsidR="00910DDC">
              <w:rPr>
                <w:rFonts w:ascii="Arial Narrow" w:hAnsi="Arial Narrow" w:cs="Arial"/>
                <w:sz w:val="20"/>
                <w:szCs w:val="20"/>
              </w:rPr>
              <w:t xml:space="preserve"> y</w:t>
            </w:r>
            <w:r w:rsidRPr="006108C4">
              <w:rPr>
                <w:rFonts w:ascii="Arial Narrow" w:hAnsi="Arial Narrow" w:cs="Arial"/>
                <w:sz w:val="20"/>
                <w:szCs w:val="20"/>
              </w:rPr>
              <w:t xml:space="preserve"> verificar que la de menor precio cumpla con las condiciones de la invitación pública y publicar el documento generado (informe de evaluación) en la plataforma SECOP II o herramienta que el Gobierno Nacional determine para el efecto, de conformidad con el </w:t>
            </w:r>
            <w:r w:rsidR="001822A4">
              <w:rPr>
                <w:rFonts w:ascii="Arial Narrow" w:hAnsi="Arial Narrow" w:cs="Arial"/>
                <w:sz w:val="20"/>
                <w:szCs w:val="20"/>
              </w:rPr>
              <w:t>c</w:t>
            </w:r>
            <w:r w:rsidRPr="006108C4">
              <w:rPr>
                <w:rFonts w:ascii="Arial Narrow" w:hAnsi="Arial Narrow" w:cs="Arial"/>
                <w:sz w:val="20"/>
                <w:szCs w:val="20"/>
              </w:rPr>
              <w:t>ronograma establecido,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7D514223" w14:textId="77777777" w:rsidR="00255E1F"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3FA97B4A" w14:textId="743A5810"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63EBAD6F" w14:textId="767048C2" w:rsidR="00135403" w:rsidRPr="00BE2B39" w:rsidRDefault="00910DDC"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63695636" w14:textId="4984EF7F" w:rsidR="00135403" w:rsidRPr="006108C4" w:rsidRDefault="00910DDC" w:rsidP="007A24ED">
            <w:pPr>
              <w:spacing w:before="80" w:after="80"/>
              <w:jc w:val="both"/>
              <w:rPr>
                <w:rFonts w:ascii="Arial Narrow" w:hAnsi="Arial Narrow" w:cs="Arial"/>
                <w:sz w:val="20"/>
                <w:szCs w:val="20"/>
              </w:rPr>
            </w:pPr>
            <w:r w:rsidRPr="009135AD">
              <w:rPr>
                <w:rFonts w:ascii="Arial Narrow" w:hAnsi="Arial Narrow" w:cs="Arial"/>
                <w:sz w:val="20"/>
                <w:szCs w:val="20"/>
              </w:rPr>
              <w:t>P</w:t>
            </w:r>
            <w:r w:rsidR="00C60993">
              <w:rPr>
                <w:rFonts w:ascii="Arial Narrow" w:hAnsi="Arial Narrow" w:cs="Arial"/>
                <w:sz w:val="20"/>
                <w:szCs w:val="20"/>
              </w:rPr>
              <w:t>ublicación del informe de evaluación en el p</w:t>
            </w:r>
            <w:r w:rsidRPr="009135AD">
              <w:rPr>
                <w:rFonts w:ascii="Arial Narrow" w:hAnsi="Arial Narrow" w:cs="Arial"/>
                <w:sz w:val="20"/>
                <w:szCs w:val="20"/>
              </w:rPr>
              <w:t>ortal Único de Contratación (SECOP)</w:t>
            </w:r>
          </w:p>
        </w:tc>
      </w:tr>
      <w:tr w:rsidR="00135403" w14:paraId="6CB794C6" w14:textId="77777777" w:rsidTr="00255E1F">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B983753"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7</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698F1842" w14:textId="0CE2D140"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 xml:space="preserve">Elaborar y publicar en la plataforma del SECOP II o herramienta que el Gobierno Nacional determine para el efecto, </w:t>
            </w:r>
            <w:r w:rsidRPr="006108C4">
              <w:rPr>
                <w:rFonts w:ascii="Arial Narrow" w:hAnsi="Arial Narrow" w:cs="Arial"/>
                <w:color w:val="000000"/>
                <w:sz w:val="20"/>
                <w:szCs w:val="20"/>
              </w:rPr>
              <w:t>donde se debe dar oportuna respuesta a la</w:t>
            </w:r>
            <w:r w:rsidRPr="006108C4">
              <w:rPr>
                <w:rFonts w:ascii="Arial Narrow" w:hAnsi="Arial Narrow" w:cs="Arial"/>
                <w:sz w:val="20"/>
                <w:szCs w:val="20"/>
              </w:rPr>
              <w:t>s observaciones presentadas al informe de evaluación, cuando a ello hubiera lugar,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74A34E38" w14:textId="77777777" w:rsidR="00255E1F"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31A28327" w14:textId="31E9BF1D"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428E4D94" w14:textId="56C5B1CE" w:rsidR="00135403" w:rsidRPr="00BE2B39" w:rsidRDefault="00910DDC"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6842FB82" w14:textId="79F0A89B" w:rsidR="00135403" w:rsidRPr="006108C4" w:rsidRDefault="00910DDC" w:rsidP="00255E1F">
            <w:pPr>
              <w:spacing w:before="80" w:after="80"/>
              <w:jc w:val="both"/>
              <w:rPr>
                <w:rFonts w:ascii="Arial Narrow" w:hAnsi="Arial Narrow" w:cs="Arial"/>
                <w:sz w:val="20"/>
                <w:szCs w:val="20"/>
              </w:rPr>
            </w:pPr>
            <w:r w:rsidRPr="009135AD">
              <w:rPr>
                <w:rFonts w:ascii="Arial Narrow" w:hAnsi="Arial Narrow" w:cs="Arial"/>
                <w:sz w:val="20"/>
                <w:szCs w:val="20"/>
              </w:rPr>
              <w:t>P</w:t>
            </w:r>
            <w:r w:rsidR="00C60993">
              <w:rPr>
                <w:rFonts w:ascii="Arial Narrow" w:hAnsi="Arial Narrow" w:cs="Arial"/>
                <w:sz w:val="20"/>
                <w:szCs w:val="20"/>
              </w:rPr>
              <w:t>ublicación de las respuestas a las observaciones del informe de evaluación en el p</w:t>
            </w:r>
            <w:r w:rsidRPr="009135AD">
              <w:rPr>
                <w:rFonts w:ascii="Arial Narrow" w:hAnsi="Arial Narrow" w:cs="Arial"/>
                <w:sz w:val="20"/>
                <w:szCs w:val="20"/>
              </w:rPr>
              <w:t>ortal Único de Contratación (SECOP)</w:t>
            </w:r>
            <w:r w:rsidR="00A31F8F">
              <w:rPr>
                <w:rFonts w:ascii="Arial Narrow" w:hAnsi="Arial Narrow" w:cs="Arial"/>
                <w:sz w:val="20"/>
                <w:szCs w:val="20"/>
              </w:rPr>
              <w:t>.</w:t>
            </w:r>
          </w:p>
        </w:tc>
      </w:tr>
      <w:tr w:rsidR="00135403" w14:paraId="4B95F7B8" w14:textId="77777777" w:rsidTr="00C60993">
        <w:trPr>
          <w:trHeight w:val="232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9D35502"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lastRenderedPageBreak/>
              <w:t>8</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B7108EB" w14:textId="2AC41D1E"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 xml:space="preserve">Crear y </w:t>
            </w:r>
            <w:r w:rsidR="00C60993">
              <w:rPr>
                <w:rFonts w:ascii="Arial Narrow" w:hAnsi="Arial Narrow" w:cs="Arial"/>
                <w:sz w:val="20"/>
                <w:szCs w:val="20"/>
              </w:rPr>
              <w:t>p</w:t>
            </w:r>
            <w:r w:rsidRPr="006108C4">
              <w:rPr>
                <w:rFonts w:ascii="Arial Narrow" w:hAnsi="Arial Narrow" w:cs="Arial"/>
                <w:sz w:val="20"/>
                <w:szCs w:val="20"/>
              </w:rPr>
              <w:t xml:space="preserve">ublicar la Comunicación de Aceptación de Oferta, o </w:t>
            </w:r>
            <w:r w:rsidRPr="006108C4">
              <w:rPr>
                <w:rFonts w:ascii="Arial Narrow" w:hAnsi="Arial Narrow" w:cs="Arial"/>
                <w:color w:val="000000" w:themeColor="text1"/>
                <w:sz w:val="20"/>
                <w:szCs w:val="20"/>
              </w:rPr>
              <w:t xml:space="preserve">del Auto de Declaratoria Desierta, cuando a ello hubiere lugar, en la plataforma del </w:t>
            </w:r>
            <w:r w:rsidRPr="006108C4">
              <w:rPr>
                <w:rFonts w:ascii="Arial Narrow" w:hAnsi="Arial Narrow" w:cs="Arial"/>
                <w:sz w:val="20"/>
                <w:szCs w:val="20"/>
              </w:rPr>
              <w:t>SECOP II o herramienta que el Gobierno Nacional determine,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11E8E572" w14:textId="77777777" w:rsidR="00255E1F"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5A6FD505" w14:textId="7D80FF5E"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0F4BFCC2" w14:textId="615FDCC8" w:rsidR="00910DDC" w:rsidRPr="00BE2B39" w:rsidRDefault="00910DDC"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712C4D14" w14:textId="1142692F" w:rsidR="00135403" w:rsidRPr="006108C4" w:rsidRDefault="00C60993" w:rsidP="00C60993">
            <w:pPr>
              <w:spacing w:before="80" w:after="80"/>
              <w:jc w:val="both"/>
              <w:rPr>
                <w:rFonts w:ascii="Arial Narrow" w:hAnsi="Arial Narrow" w:cs="Arial"/>
                <w:sz w:val="20"/>
                <w:szCs w:val="20"/>
              </w:rPr>
            </w:pPr>
            <w:r>
              <w:rPr>
                <w:rFonts w:ascii="Arial Narrow" w:hAnsi="Arial Narrow" w:cs="Arial"/>
                <w:sz w:val="20"/>
                <w:szCs w:val="20"/>
              </w:rPr>
              <w:t xml:space="preserve">Contrato suscrito por las partes en el </w:t>
            </w:r>
            <w:r w:rsidR="00910DDC" w:rsidRPr="009135AD">
              <w:rPr>
                <w:rFonts w:ascii="Arial Narrow" w:hAnsi="Arial Narrow" w:cs="Arial"/>
                <w:sz w:val="20"/>
                <w:szCs w:val="20"/>
              </w:rPr>
              <w:t>Portal Único de Contratación (SECOP)</w:t>
            </w:r>
          </w:p>
        </w:tc>
      </w:tr>
      <w:tr w:rsidR="00135403" w14:paraId="17488D67" w14:textId="77777777" w:rsidTr="00255E1F">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34D26A2"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9</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51CFF80E" w14:textId="77777777"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Registrar la Aceptación de Oferta por parte del Grupo de Gestión Financiera (Nivel central) o quien haga sus veces (nivel territorial) e ingresar dicha información en la plataforma del SECOP II o herramienta que el Gobierno Nacional determine, por quien se designe para el efecto.</w:t>
            </w:r>
          </w:p>
        </w:tc>
        <w:tc>
          <w:tcPr>
            <w:tcW w:w="1559" w:type="dxa"/>
            <w:tcBorders>
              <w:top w:val="nil"/>
              <w:left w:val="nil"/>
              <w:bottom w:val="single" w:sz="4" w:space="0" w:color="auto"/>
              <w:right w:val="single" w:sz="4" w:space="0" w:color="auto"/>
            </w:tcBorders>
            <w:shd w:val="clear" w:color="000000" w:fill="FFFFFF"/>
            <w:vAlign w:val="center"/>
            <w:hideMark/>
          </w:tcPr>
          <w:p w14:paraId="45273F80" w14:textId="77777777" w:rsidR="00255E1F"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 xml:space="preserve">Nivel Central: Subdirección Administrativa y Financiera - Grupo de Contratos, Grupo de Gestión Financiera. </w:t>
            </w:r>
          </w:p>
          <w:p w14:paraId="326C1DCF" w14:textId="425EAD32"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78C0572D" w14:textId="72ABB462" w:rsidR="00135403" w:rsidRPr="00BE2B39" w:rsidRDefault="00910DDC"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05DD5668" w14:textId="1232475E" w:rsidR="00135403" w:rsidRPr="006108C4" w:rsidRDefault="00910DDC" w:rsidP="00255E1F">
            <w:pPr>
              <w:spacing w:before="80" w:after="80"/>
              <w:jc w:val="both"/>
              <w:rPr>
                <w:rFonts w:ascii="Arial Narrow" w:hAnsi="Arial Narrow" w:cs="Arial"/>
                <w:sz w:val="20"/>
                <w:szCs w:val="20"/>
              </w:rPr>
            </w:pPr>
            <w:r>
              <w:rPr>
                <w:rFonts w:ascii="Arial Narrow" w:hAnsi="Arial Narrow" w:cs="Arial"/>
                <w:sz w:val="20"/>
                <w:szCs w:val="20"/>
              </w:rPr>
              <w:t>R</w:t>
            </w:r>
            <w:r w:rsidR="00135403" w:rsidRPr="006108C4">
              <w:rPr>
                <w:rFonts w:ascii="Arial Narrow" w:hAnsi="Arial Narrow" w:cs="Arial"/>
                <w:sz w:val="20"/>
                <w:szCs w:val="20"/>
              </w:rPr>
              <w:t>egistro   presupuestal</w:t>
            </w:r>
            <w:r w:rsidR="00C60993">
              <w:rPr>
                <w:rFonts w:ascii="Arial Narrow" w:hAnsi="Arial Narrow" w:cs="Arial"/>
                <w:sz w:val="20"/>
                <w:szCs w:val="20"/>
              </w:rPr>
              <w:t>.</w:t>
            </w:r>
          </w:p>
        </w:tc>
      </w:tr>
      <w:tr w:rsidR="00135403" w14:paraId="29BD6A5C" w14:textId="77777777" w:rsidTr="00C60993">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565760B"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10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306E64BB" w14:textId="77777777"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Revisar y aprobar la garantía solicitada para la Aceptación de Oferta resultante en la plataforma del SECOP II o herramienta que el Gobierno Nacional determine,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2C0CB090" w14:textId="77777777" w:rsidR="00255E1F" w:rsidRDefault="00135403" w:rsidP="00C60993">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161B2085" w14:textId="2DD0D9FB" w:rsidR="00135403" w:rsidRPr="006108C4" w:rsidRDefault="00135403" w:rsidP="00C60993">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29BB45D7" w14:textId="0BCF6108" w:rsidR="00135403" w:rsidRPr="00BE2B39" w:rsidRDefault="00910DDC"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10731370" w14:textId="52942204" w:rsidR="00135403" w:rsidRPr="006108C4" w:rsidRDefault="00910DDC" w:rsidP="00255E1F">
            <w:pPr>
              <w:spacing w:before="80" w:after="80"/>
              <w:jc w:val="both"/>
              <w:rPr>
                <w:rFonts w:ascii="Arial Narrow" w:hAnsi="Arial Narrow" w:cs="Arial"/>
                <w:sz w:val="20"/>
                <w:szCs w:val="20"/>
              </w:rPr>
            </w:pPr>
            <w:r>
              <w:rPr>
                <w:rFonts w:ascii="Arial Narrow" w:hAnsi="Arial Narrow" w:cs="Arial"/>
                <w:sz w:val="20"/>
                <w:szCs w:val="20"/>
              </w:rPr>
              <w:t xml:space="preserve">Póliza aprobada </w:t>
            </w:r>
            <w:r w:rsidRPr="006108C4">
              <w:rPr>
                <w:rFonts w:ascii="Arial Narrow" w:hAnsi="Arial Narrow" w:cs="Arial"/>
                <w:sz w:val="20"/>
                <w:szCs w:val="20"/>
              </w:rPr>
              <w:t>cargada</w:t>
            </w:r>
            <w:r w:rsidR="00135403" w:rsidRPr="006108C4">
              <w:rPr>
                <w:rFonts w:ascii="Arial Narrow" w:hAnsi="Arial Narrow" w:cs="Arial"/>
                <w:sz w:val="20"/>
                <w:szCs w:val="20"/>
              </w:rPr>
              <w:t xml:space="preserve"> en la plataforma SECOP con fecha</w:t>
            </w:r>
          </w:p>
        </w:tc>
      </w:tr>
      <w:tr w:rsidR="00135403" w14:paraId="447DE62D" w14:textId="77777777" w:rsidTr="00C60993">
        <w:trPr>
          <w:trHeight w:val="178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2A60783"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11</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67B205B" w14:textId="77777777"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Remitir por el sistema de gestión documental Orfeo o por la plataforma SECOP II, la comunicación de designación de supervisión al funcionario determinado en la Aceptación de Oferta, y suscribir el acta de inicio en aquellos casos en que se pacte.</w:t>
            </w:r>
          </w:p>
        </w:tc>
        <w:tc>
          <w:tcPr>
            <w:tcW w:w="1559" w:type="dxa"/>
            <w:tcBorders>
              <w:top w:val="nil"/>
              <w:left w:val="nil"/>
              <w:bottom w:val="single" w:sz="4" w:space="0" w:color="auto"/>
              <w:right w:val="single" w:sz="4" w:space="0" w:color="auto"/>
            </w:tcBorders>
            <w:shd w:val="clear" w:color="000000" w:fill="FFFFFF"/>
            <w:vAlign w:val="center"/>
            <w:hideMark/>
          </w:tcPr>
          <w:p w14:paraId="6AA9EB53" w14:textId="77777777" w:rsidR="00255E1F" w:rsidRDefault="00135403" w:rsidP="00C60993">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0C950EE4" w14:textId="0BFD3536" w:rsidR="00135403" w:rsidRPr="006108C4" w:rsidRDefault="00135403" w:rsidP="00C60993">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4D68ED69" w14:textId="7207FD1C" w:rsidR="00135403" w:rsidRPr="00BE2B39" w:rsidRDefault="00910DDC" w:rsidP="00255E1F">
            <w:pPr>
              <w:spacing w:before="80" w:after="80"/>
              <w:jc w:val="center"/>
              <w:rPr>
                <w:rFonts w:ascii="Arial Narrow" w:hAnsi="Arial Narrow" w:cs="Arial"/>
                <w:sz w:val="20"/>
                <w:szCs w:val="20"/>
              </w:rPr>
            </w:pPr>
            <w:r w:rsidRPr="00BE2B39">
              <w:rPr>
                <w:rFonts w:ascii="Arial Narrow" w:hAnsi="Arial Narrow" w:cs="Arial"/>
                <w:sz w:val="20"/>
                <w:szCs w:val="20"/>
              </w:rPr>
              <w:t>N/A</w:t>
            </w:r>
          </w:p>
        </w:tc>
        <w:tc>
          <w:tcPr>
            <w:tcW w:w="2268" w:type="dxa"/>
            <w:tcBorders>
              <w:top w:val="nil"/>
              <w:left w:val="nil"/>
              <w:bottom w:val="single" w:sz="4" w:space="0" w:color="auto"/>
              <w:right w:val="single" w:sz="4" w:space="0" w:color="auto"/>
            </w:tcBorders>
            <w:shd w:val="clear" w:color="000000" w:fill="FFFFFF"/>
            <w:vAlign w:val="center"/>
            <w:hideMark/>
          </w:tcPr>
          <w:p w14:paraId="4D68B1E8" w14:textId="6CFB9215" w:rsidR="00135403" w:rsidRPr="006108C4" w:rsidRDefault="00C60993" w:rsidP="00255E1F">
            <w:pPr>
              <w:spacing w:before="80" w:after="80"/>
              <w:rPr>
                <w:rFonts w:ascii="Arial Narrow" w:hAnsi="Arial Narrow" w:cs="Arial"/>
                <w:sz w:val="20"/>
                <w:szCs w:val="20"/>
              </w:rPr>
            </w:pPr>
            <w:r>
              <w:rPr>
                <w:rFonts w:ascii="Arial Narrow" w:hAnsi="Arial Narrow" w:cs="Arial"/>
                <w:sz w:val="20"/>
                <w:szCs w:val="20"/>
              </w:rPr>
              <w:t>D</w:t>
            </w:r>
            <w:r w:rsidR="00135403" w:rsidRPr="006108C4">
              <w:rPr>
                <w:rFonts w:ascii="Arial Narrow" w:hAnsi="Arial Narrow" w:cs="Arial"/>
                <w:sz w:val="20"/>
                <w:szCs w:val="20"/>
              </w:rPr>
              <w:t>esignación de</w:t>
            </w:r>
            <w:r>
              <w:rPr>
                <w:rFonts w:ascii="Arial Narrow" w:hAnsi="Arial Narrow" w:cs="Arial"/>
                <w:sz w:val="20"/>
                <w:szCs w:val="20"/>
              </w:rPr>
              <w:t>l</w:t>
            </w:r>
            <w:r w:rsidR="00135403" w:rsidRPr="006108C4">
              <w:rPr>
                <w:rFonts w:ascii="Arial Narrow" w:hAnsi="Arial Narrow" w:cs="Arial"/>
                <w:sz w:val="20"/>
                <w:szCs w:val="20"/>
              </w:rPr>
              <w:t xml:space="preserve"> supervisor gestionada </w:t>
            </w:r>
            <w:r>
              <w:rPr>
                <w:rFonts w:ascii="Arial Narrow" w:hAnsi="Arial Narrow" w:cs="Arial"/>
                <w:sz w:val="20"/>
                <w:szCs w:val="20"/>
              </w:rPr>
              <w:t>por</w:t>
            </w:r>
            <w:r w:rsidRPr="006108C4">
              <w:rPr>
                <w:rFonts w:ascii="Arial Narrow" w:hAnsi="Arial Narrow" w:cs="Arial"/>
                <w:sz w:val="20"/>
                <w:szCs w:val="20"/>
              </w:rPr>
              <w:t xml:space="preserve"> </w:t>
            </w:r>
            <w:r w:rsidR="00135403" w:rsidRPr="006108C4">
              <w:rPr>
                <w:rFonts w:ascii="Arial Narrow" w:hAnsi="Arial Narrow" w:cs="Arial"/>
                <w:sz w:val="20"/>
                <w:szCs w:val="20"/>
              </w:rPr>
              <w:t xml:space="preserve">el Sistema de Gestión Documental ORFEO o por </w:t>
            </w:r>
            <w:r w:rsidR="00910DDC" w:rsidRPr="009135AD">
              <w:rPr>
                <w:rFonts w:ascii="Arial Narrow" w:hAnsi="Arial Narrow" w:cs="Arial"/>
                <w:sz w:val="20"/>
                <w:szCs w:val="20"/>
              </w:rPr>
              <w:t>Portal Único de Contratación (SECOP)</w:t>
            </w:r>
          </w:p>
        </w:tc>
      </w:tr>
      <w:tr w:rsidR="00135403" w14:paraId="4AEC83F3" w14:textId="77777777" w:rsidTr="00C960F4">
        <w:trPr>
          <w:trHeight w:val="65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CF41E78" w14:textId="77777777"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12</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C41BE6E" w14:textId="203D7FF1"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Elaborar y publicar las adiciones, modificaciones, suspensiones, pr</w:t>
            </w:r>
            <w:r w:rsidR="00C60993">
              <w:rPr>
                <w:rFonts w:ascii="Arial Narrow" w:hAnsi="Arial Narrow" w:cs="Arial"/>
                <w:sz w:val="20"/>
                <w:szCs w:val="20"/>
              </w:rPr>
              <w:t>ó</w:t>
            </w:r>
            <w:r w:rsidRPr="006108C4">
              <w:rPr>
                <w:rFonts w:ascii="Arial Narrow" w:hAnsi="Arial Narrow" w:cs="Arial"/>
                <w:sz w:val="20"/>
                <w:szCs w:val="20"/>
              </w:rPr>
              <w:t>rrogas en la plataforma SECOP II o herramienta que el Gobierno Nacional determine, de conformidad con la ley, reglamento y/o lineamientos dados por Colombia Compra Eficiente y aquellos que expida la entidad.</w:t>
            </w:r>
          </w:p>
        </w:tc>
        <w:tc>
          <w:tcPr>
            <w:tcW w:w="1559" w:type="dxa"/>
            <w:tcBorders>
              <w:top w:val="nil"/>
              <w:left w:val="nil"/>
              <w:bottom w:val="single" w:sz="4" w:space="0" w:color="auto"/>
              <w:right w:val="single" w:sz="4" w:space="0" w:color="auto"/>
            </w:tcBorders>
            <w:shd w:val="clear" w:color="000000" w:fill="FFFFFF"/>
            <w:vAlign w:val="center"/>
            <w:hideMark/>
          </w:tcPr>
          <w:p w14:paraId="71335DD2" w14:textId="225D4263" w:rsidR="00135403" w:rsidRPr="006108C4" w:rsidRDefault="00135403" w:rsidP="00C60993">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r w:rsidRPr="006108C4">
              <w:rPr>
                <w:rFonts w:ascii="Arial Narrow" w:hAnsi="Arial Narrow" w:cs="Arial"/>
                <w:sz w:val="20"/>
                <w:szCs w:val="20"/>
              </w:rPr>
              <w:br w:type="page"/>
              <w:t xml:space="preserve">Nivel Territorial: </w:t>
            </w:r>
            <w:r w:rsidRPr="006108C4">
              <w:rPr>
                <w:rFonts w:ascii="Arial Narrow" w:hAnsi="Arial Narrow" w:cs="Arial"/>
                <w:sz w:val="20"/>
                <w:szCs w:val="20"/>
              </w:rPr>
              <w:lastRenderedPageBreak/>
              <w:t>Dirección Territorial.</w:t>
            </w:r>
          </w:p>
        </w:tc>
        <w:tc>
          <w:tcPr>
            <w:tcW w:w="1560" w:type="dxa"/>
            <w:tcBorders>
              <w:top w:val="nil"/>
              <w:left w:val="nil"/>
              <w:bottom w:val="single" w:sz="4" w:space="0" w:color="auto"/>
              <w:right w:val="single" w:sz="4" w:space="0" w:color="auto"/>
            </w:tcBorders>
            <w:shd w:val="clear" w:color="auto" w:fill="auto"/>
            <w:vAlign w:val="center"/>
            <w:hideMark/>
          </w:tcPr>
          <w:p w14:paraId="5AA335A7" w14:textId="6752D5BA" w:rsidR="00135403" w:rsidRPr="00BE2B39" w:rsidRDefault="001E4D6B" w:rsidP="00255E1F">
            <w:pPr>
              <w:spacing w:before="80" w:after="80"/>
              <w:jc w:val="center"/>
              <w:rPr>
                <w:rFonts w:ascii="Arial Narrow" w:hAnsi="Arial Narrow" w:cs="Arial"/>
                <w:sz w:val="20"/>
                <w:szCs w:val="20"/>
              </w:rPr>
            </w:pPr>
            <w:r>
              <w:rPr>
                <w:rFonts w:ascii="Arial Narrow" w:hAnsi="Arial Narrow" w:cs="Arial"/>
                <w:sz w:val="20"/>
                <w:szCs w:val="20"/>
              </w:rPr>
              <w:lastRenderedPageBreak/>
              <w:t>Manual de contratación</w:t>
            </w:r>
          </w:p>
        </w:tc>
        <w:tc>
          <w:tcPr>
            <w:tcW w:w="2268" w:type="dxa"/>
            <w:tcBorders>
              <w:top w:val="nil"/>
              <w:left w:val="nil"/>
              <w:bottom w:val="single" w:sz="4" w:space="0" w:color="auto"/>
              <w:right w:val="single" w:sz="4" w:space="0" w:color="auto"/>
            </w:tcBorders>
            <w:shd w:val="clear" w:color="000000" w:fill="FFFFFF"/>
            <w:vAlign w:val="center"/>
            <w:hideMark/>
          </w:tcPr>
          <w:p w14:paraId="424E24F4" w14:textId="4A1951AF" w:rsidR="00135403" w:rsidRPr="006108C4" w:rsidRDefault="00C60993" w:rsidP="00C60993">
            <w:pPr>
              <w:spacing w:before="80" w:after="80"/>
              <w:jc w:val="both"/>
              <w:rPr>
                <w:rFonts w:ascii="Arial Narrow" w:hAnsi="Arial Narrow" w:cs="Arial"/>
                <w:sz w:val="20"/>
                <w:szCs w:val="20"/>
              </w:rPr>
            </w:pPr>
            <w:r>
              <w:rPr>
                <w:rFonts w:ascii="Arial Narrow" w:hAnsi="Arial Narrow" w:cs="Arial"/>
                <w:sz w:val="20"/>
                <w:szCs w:val="20"/>
              </w:rPr>
              <w:t>M</w:t>
            </w:r>
            <w:r w:rsidRPr="006108C4">
              <w:rPr>
                <w:rFonts w:ascii="Arial Narrow" w:hAnsi="Arial Narrow" w:cs="Arial"/>
                <w:sz w:val="20"/>
                <w:szCs w:val="20"/>
              </w:rPr>
              <w:t xml:space="preserve">odificaciones </w:t>
            </w:r>
            <w:r w:rsidR="00135403" w:rsidRPr="006108C4">
              <w:rPr>
                <w:rFonts w:ascii="Arial Narrow" w:hAnsi="Arial Narrow" w:cs="Arial"/>
                <w:sz w:val="20"/>
                <w:szCs w:val="20"/>
              </w:rPr>
              <w:t>en la plataforma SECOP, expedición del registro presupuestal y aprobación de la garantía cuando a ello hubiera lugar</w:t>
            </w:r>
            <w:r>
              <w:rPr>
                <w:rFonts w:ascii="Arial Narrow" w:hAnsi="Arial Narrow" w:cs="Arial"/>
                <w:sz w:val="20"/>
                <w:szCs w:val="20"/>
              </w:rPr>
              <w:t>.</w:t>
            </w:r>
          </w:p>
        </w:tc>
      </w:tr>
      <w:tr w:rsidR="00135403" w14:paraId="5C1590CD" w14:textId="77777777" w:rsidTr="00C60993">
        <w:trPr>
          <w:trHeight w:val="19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E8EDCEA" w14:textId="10DAFA6E"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13</w:t>
            </w:r>
          </w:p>
        </w:tc>
        <w:tc>
          <w:tcPr>
            <w:tcW w:w="3685" w:type="dxa"/>
            <w:tcBorders>
              <w:top w:val="nil"/>
              <w:left w:val="nil"/>
              <w:bottom w:val="single" w:sz="4" w:space="0" w:color="auto"/>
              <w:right w:val="single" w:sz="4" w:space="0" w:color="auto"/>
            </w:tcBorders>
            <w:shd w:val="clear" w:color="auto" w:fill="auto"/>
            <w:noWrap/>
            <w:vAlign w:val="center"/>
          </w:tcPr>
          <w:p w14:paraId="1B8228B3" w14:textId="35A9C34E" w:rsidR="00135403" w:rsidRPr="006108C4" w:rsidRDefault="00135403" w:rsidP="00255E1F">
            <w:pPr>
              <w:spacing w:before="80" w:after="80"/>
              <w:jc w:val="both"/>
              <w:rPr>
                <w:rFonts w:ascii="Arial Narrow" w:hAnsi="Arial Narrow" w:cs="Arial"/>
                <w:sz w:val="20"/>
                <w:szCs w:val="20"/>
              </w:rPr>
            </w:pPr>
            <w:r w:rsidRPr="006108C4">
              <w:rPr>
                <w:rFonts w:ascii="Arial Narrow" w:hAnsi="Arial Narrow" w:cs="Arial"/>
                <w:sz w:val="20"/>
                <w:szCs w:val="20"/>
              </w:rPr>
              <w:t>Elaborar y publicar el acta de liquidación, cuando a ello hubiere lugar, en la plataforma SECOP II o herramienta que el Gobierno Nacional determine, de conformidad con la ley, reglamento y/o lineamientos dados por Colombia Compra Eficiente y aquellos que expida la entidad.</w:t>
            </w:r>
            <w:r w:rsidR="000859CC">
              <w:rPr>
                <w:rFonts w:ascii="Arial Narrow" w:hAnsi="Arial Narrow" w:cs="Arial"/>
                <w:sz w:val="20"/>
                <w:szCs w:val="20"/>
              </w:rPr>
              <w:pict w14:anchorId="2D314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193" o:spid="_x0000_s1026" type="#_x0000_t75" alt="" style="position:absolute;left:0;text-align:left;margin-left:1.5pt;margin-top:62.25pt;width:1.5pt;height:12.75pt;z-index:251660288;visibility:visible;mso-wrap-style:square;mso-wrap-edited:f;mso-width-percent:0;mso-height-percent:0;mso-position-horizontal-relative:text;mso-position-vertical-relative:text;mso-width-percent:0;mso-height-percent:0;v-text-anchor:top" o:insetmode="auto">
                  <v:imagedata r:id="rId16" o:title=""/>
                  <o:lock v:ext="edit" aspectratio="f"/>
                </v:shape>
              </w:pic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3349E91" w14:textId="77777777" w:rsidR="00255E1F"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Central: Subdirección Administrativa y Financiera - Grupo de Contratos.</w:t>
            </w:r>
          </w:p>
          <w:p w14:paraId="6B6027FA" w14:textId="2B8F0ECF" w:rsidR="00135403" w:rsidRPr="006108C4" w:rsidRDefault="00135403" w:rsidP="00255E1F">
            <w:pPr>
              <w:spacing w:before="80" w:after="80"/>
              <w:jc w:val="center"/>
              <w:rPr>
                <w:rFonts w:ascii="Arial Narrow" w:hAnsi="Arial Narrow" w:cs="Arial"/>
                <w:sz w:val="20"/>
                <w:szCs w:val="20"/>
              </w:rPr>
            </w:pPr>
            <w:r w:rsidRPr="006108C4">
              <w:rPr>
                <w:rFonts w:ascii="Arial Narrow" w:hAnsi="Arial Narrow" w:cs="Arial"/>
                <w:sz w:val="20"/>
                <w:szCs w:val="20"/>
              </w:rPr>
              <w:t>Nivel Territorial: Dirección Territorial.</w:t>
            </w:r>
          </w:p>
        </w:tc>
        <w:tc>
          <w:tcPr>
            <w:tcW w:w="1560" w:type="dxa"/>
            <w:tcBorders>
              <w:top w:val="nil"/>
              <w:left w:val="nil"/>
              <w:bottom w:val="single" w:sz="4" w:space="0" w:color="auto"/>
              <w:right w:val="single" w:sz="4" w:space="0" w:color="auto"/>
            </w:tcBorders>
            <w:shd w:val="clear" w:color="auto" w:fill="auto"/>
            <w:vAlign w:val="center"/>
          </w:tcPr>
          <w:p w14:paraId="62EA9090" w14:textId="31072701" w:rsidR="00135403" w:rsidRPr="00BE2B39" w:rsidRDefault="001E4D6B" w:rsidP="00255E1F">
            <w:pPr>
              <w:spacing w:before="80" w:after="80"/>
              <w:jc w:val="center"/>
              <w:rPr>
                <w:rFonts w:ascii="Arial Narrow" w:hAnsi="Arial Narrow" w:cs="Arial"/>
                <w:sz w:val="20"/>
                <w:szCs w:val="20"/>
              </w:rPr>
            </w:pPr>
            <w:r>
              <w:rPr>
                <w:rFonts w:ascii="Arial Narrow" w:hAnsi="Arial Narrow" w:cs="Arial"/>
                <w:sz w:val="20"/>
                <w:szCs w:val="20"/>
              </w:rPr>
              <w:t>Manual de Contratación y Guía supervisión e interventoría.</w:t>
            </w:r>
          </w:p>
        </w:tc>
        <w:tc>
          <w:tcPr>
            <w:tcW w:w="2268" w:type="dxa"/>
            <w:tcBorders>
              <w:top w:val="nil"/>
              <w:left w:val="nil"/>
              <w:bottom w:val="single" w:sz="4" w:space="0" w:color="auto"/>
              <w:right w:val="single" w:sz="4" w:space="0" w:color="auto"/>
            </w:tcBorders>
            <w:shd w:val="clear" w:color="000000" w:fill="FFFFFF"/>
            <w:vAlign w:val="center"/>
          </w:tcPr>
          <w:p w14:paraId="5BB8D022" w14:textId="485F7E77" w:rsidR="00135403" w:rsidRPr="006108C4" w:rsidRDefault="00C60993" w:rsidP="00255E1F">
            <w:pPr>
              <w:spacing w:before="80" w:after="80"/>
              <w:jc w:val="both"/>
              <w:rPr>
                <w:rFonts w:ascii="Arial Narrow" w:hAnsi="Arial Narrow" w:cs="Arial"/>
                <w:sz w:val="20"/>
                <w:szCs w:val="20"/>
              </w:rPr>
            </w:pPr>
            <w:r>
              <w:rPr>
                <w:rFonts w:ascii="Arial Narrow" w:hAnsi="Arial Narrow" w:cs="Arial"/>
                <w:sz w:val="20"/>
                <w:szCs w:val="20"/>
              </w:rPr>
              <w:t>A</w:t>
            </w:r>
            <w:r w:rsidRPr="006108C4">
              <w:rPr>
                <w:rFonts w:ascii="Arial Narrow" w:hAnsi="Arial Narrow" w:cs="Arial"/>
                <w:sz w:val="20"/>
                <w:szCs w:val="20"/>
              </w:rPr>
              <w:t xml:space="preserve">cta </w:t>
            </w:r>
            <w:r w:rsidR="00135403" w:rsidRPr="006108C4">
              <w:rPr>
                <w:rFonts w:ascii="Arial Narrow" w:hAnsi="Arial Narrow" w:cs="Arial"/>
                <w:sz w:val="20"/>
                <w:szCs w:val="20"/>
              </w:rPr>
              <w:t xml:space="preserve">de liquidación </w:t>
            </w:r>
            <w:r>
              <w:rPr>
                <w:rFonts w:ascii="Arial Narrow" w:hAnsi="Arial Narrow" w:cs="Arial"/>
                <w:sz w:val="20"/>
                <w:szCs w:val="20"/>
              </w:rPr>
              <w:t xml:space="preserve">publicada </w:t>
            </w:r>
            <w:r w:rsidR="00135403" w:rsidRPr="006108C4">
              <w:rPr>
                <w:rFonts w:ascii="Arial Narrow" w:hAnsi="Arial Narrow" w:cs="Arial"/>
                <w:sz w:val="20"/>
                <w:szCs w:val="20"/>
              </w:rPr>
              <w:t>en la plataforma SECOP</w:t>
            </w:r>
            <w:r w:rsidR="00255E1F">
              <w:rPr>
                <w:rFonts w:ascii="Arial Narrow" w:hAnsi="Arial Narrow" w:cs="Arial"/>
                <w:sz w:val="20"/>
                <w:szCs w:val="20"/>
              </w:rPr>
              <w:t>.</w:t>
            </w:r>
          </w:p>
        </w:tc>
      </w:tr>
    </w:tbl>
    <w:p w14:paraId="6D50404C" w14:textId="77777777" w:rsidR="007C63F4" w:rsidRPr="006108C4" w:rsidRDefault="007C63F4" w:rsidP="006108C4"/>
    <w:p w14:paraId="08AA6899" w14:textId="77777777" w:rsidR="00F404F2" w:rsidRPr="00E835FE"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2" w:name="_Toc32778308"/>
      <w:r w:rsidRPr="00E835FE">
        <w:rPr>
          <w:rFonts w:ascii="Arial Narrow" w:hAnsi="Arial Narrow"/>
          <w:sz w:val="22"/>
          <w:szCs w:val="22"/>
        </w:rPr>
        <w:t>ANEXOS</w:t>
      </w:r>
      <w:bookmarkEnd w:id="52"/>
    </w:p>
    <w:p w14:paraId="73E7C839" w14:textId="5414FEC5" w:rsidR="00480A37" w:rsidRPr="00790E4D" w:rsidRDefault="00735F0A" w:rsidP="005D003A">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Anexo</w:t>
      </w:r>
      <w:r w:rsidR="00255E1F">
        <w:rPr>
          <w:rFonts w:ascii="Arial Narrow" w:hAnsi="Arial Narrow"/>
          <w:sz w:val="22"/>
          <w:szCs w:val="22"/>
        </w:rPr>
        <w:t xml:space="preserve"> 1</w:t>
      </w:r>
      <w:r w:rsidRPr="00790E4D">
        <w:rPr>
          <w:rFonts w:ascii="Arial Narrow" w:hAnsi="Arial Narrow"/>
          <w:sz w:val="22"/>
          <w:szCs w:val="22"/>
        </w:rPr>
        <w:t xml:space="preserve"> Flujograma Procedimiento </w:t>
      </w:r>
      <w:r w:rsidR="00CF51B1">
        <w:rPr>
          <w:rFonts w:ascii="Arial Narrow" w:hAnsi="Arial Narrow"/>
          <w:sz w:val="22"/>
          <w:szCs w:val="22"/>
        </w:rPr>
        <w:t>I</w:t>
      </w:r>
      <w:r w:rsidR="00255E1F" w:rsidRPr="00255E1F">
        <w:rPr>
          <w:rFonts w:ascii="Arial Narrow" w:hAnsi="Arial Narrow"/>
          <w:sz w:val="22"/>
          <w:szCs w:val="22"/>
        </w:rPr>
        <w:t xml:space="preserve">nvitación </w:t>
      </w:r>
      <w:r w:rsidR="00DD069F">
        <w:rPr>
          <w:rFonts w:ascii="Arial Narrow" w:hAnsi="Arial Narrow"/>
          <w:sz w:val="22"/>
          <w:szCs w:val="22"/>
        </w:rPr>
        <w:t>P</w:t>
      </w:r>
      <w:r w:rsidR="00255E1F" w:rsidRPr="00255E1F">
        <w:rPr>
          <w:rFonts w:ascii="Arial Narrow" w:hAnsi="Arial Narrow"/>
          <w:sz w:val="22"/>
          <w:szCs w:val="22"/>
        </w:rPr>
        <w:t>ública mínima cuantía</w:t>
      </w:r>
    </w:p>
    <w:p w14:paraId="1DF933F6" w14:textId="77777777" w:rsidR="00163F49" w:rsidRPr="00817B38"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3" w:name="_Toc32778309"/>
      <w:r w:rsidRPr="00E835FE">
        <w:rPr>
          <w:rFonts w:ascii="Arial Narrow" w:hAnsi="Arial Narrow"/>
          <w:sz w:val="22"/>
          <w:szCs w:val="22"/>
        </w:rPr>
        <w:t>CONTROL DE CAMBIOS</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997"/>
        <w:gridCol w:w="6028"/>
      </w:tblGrid>
      <w:tr w:rsidR="000313C1" w:rsidRPr="00817B38" w14:paraId="65FAB54A" w14:textId="77777777" w:rsidTr="00BE2B39">
        <w:trPr>
          <w:trHeight w:val="289"/>
          <w:tblHeader/>
          <w:jc w:val="center"/>
        </w:trPr>
        <w:tc>
          <w:tcPr>
            <w:tcW w:w="2278" w:type="dxa"/>
            <w:vAlign w:val="center"/>
          </w:tcPr>
          <w:p w14:paraId="7C4B2494"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FECHA DE VIGENCIA VERSIÓN ANTERIOR</w:t>
            </w:r>
          </w:p>
        </w:tc>
        <w:tc>
          <w:tcPr>
            <w:tcW w:w="997" w:type="dxa"/>
            <w:vAlign w:val="center"/>
          </w:tcPr>
          <w:p w14:paraId="69C73527" w14:textId="77777777" w:rsidR="000313C1" w:rsidRPr="00F027DE" w:rsidRDefault="000313C1" w:rsidP="00E154B8">
            <w:pPr>
              <w:pStyle w:val="Encabezado"/>
              <w:tabs>
                <w:tab w:val="clear" w:pos="4252"/>
                <w:tab w:val="clear" w:pos="8504"/>
              </w:tabs>
              <w:spacing w:before="120" w:after="120"/>
              <w:jc w:val="center"/>
              <w:rPr>
                <w:rFonts w:ascii="Arial Narrow" w:hAnsi="Arial Narrow"/>
                <w:b/>
                <w:bCs/>
                <w:szCs w:val="20"/>
              </w:rPr>
            </w:pPr>
            <w:r w:rsidRPr="00F027DE">
              <w:rPr>
                <w:rFonts w:ascii="Arial Narrow" w:hAnsi="Arial Narrow"/>
                <w:b/>
                <w:bCs/>
                <w:szCs w:val="20"/>
              </w:rPr>
              <w:t>VERSIÓN ANTERIOR</w:t>
            </w:r>
          </w:p>
        </w:tc>
        <w:tc>
          <w:tcPr>
            <w:tcW w:w="6028" w:type="dxa"/>
            <w:vAlign w:val="center"/>
          </w:tcPr>
          <w:p w14:paraId="1A4F0EE2"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MOTIVO DE LA MODIFICACIÓN</w:t>
            </w:r>
          </w:p>
        </w:tc>
      </w:tr>
      <w:tr w:rsidR="00152B56" w:rsidRPr="00817B38" w14:paraId="279AD0AA" w14:textId="77777777" w:rsidTr="00BE2B39">
        <w:trPr>
          <w:trHeight w:val="567"/>
          <w:jc w:val="center"/>
        </w:trPr>
        <w:tc>
          <w:tcPr>
            <w:tcW w:w="2278" w:type="dxa"/>
            <w:vAlign w:val="center"/>
          </w:tcPr>
          <w:p w14:paraId="6B30F3A0" w14:textId="693AD2C1" w:rsidR="00152B56" w:rsidRPr="00DD069F" w:rsidRDefault="00152B56" w:rsidP="00152B56">
            <w:pPr>
              <w:pStyle w:val="Encabezado"/>
              <w:tabs>
                <w:tab w:val="clear" w:pos="4252"/>
                <w:tab w:val="clear" w:pos="8504"/>
              </w:tabs>
              <w:spacing w:before="120" w:after="120"/>
              <w:jc w:val="center"/>
              <w:rPr>
                <w:rFonts w:ascii="Arial Narrow" w:hAnsi="Arial Narrow"/>
                <w:sz w:val="22"/>
                <w:szCs w:val="22"/>
              </w:rPr>
            </w:pPr>
            <w:r w:rsidRPr="00255E1F">
              <w:rPr>
                <w:rFonts w:ascii="Arial Narrow" w:hAnsi="Arial Narrow"/>
                <w:sz w:val="22"/>
                <w:szCs w:val="22"/>
              </w:rPr>
              <w:t>16/10/2019</w:t>
            </w:r>
          </w:p>
        </w:tc>
        <w:tc>
          <w:tcPr>
            <w:tcW w:w="997" w:type="dxa"/>
            <w:vAlign w:val="center"/>
          </w:tcPr>
          <w:p w14:paraId="4FFF3B2F" w14:textId="682DC5CB" w:rsidR="00152B56" w:rsidRPr="00DD069F" w:rsidRDefault="00152B56" w:rsidP="00152B56">
            <w:pPr>
              <w:pStyle w:val="Encabezado"/>
              <w:tabs>
                <w:tab w:val="clear" w:pos="4252"/>
                <w:tab w:val="clear" w:pos="8504"/>
              </w:tabs>
              <w:spacing w:before="120" w:after="120"/>
              <w:jc w:val="center"/>
              <w:rPr>
                <w:rFonts w:ascii="Arial Narrow" w:hAnsi="Arial Narrow"/>
                <w:sz w:val="22"/>
                <w:szCs w:val="22"/>
              </w:rPr>
            </w:pPr>
            <w:r w:rsidRPr="007516CA">
              <w:rPr>
                <w:rFonts w:ascii="Arial Narrow" w:hAnsi="Arial Narrow"/>
                <w:sz w:val="22"/>
                <w:szCs w:val="22"/>
              </w:rPr>
              <w:t>6</w:t>
            </w:r>
          </w:p>
        </w:tc>
        <w:tc>
          <w:tcPr>
            <w:tcW w:w="6028" w:type="dxa"/>
            <w:vAlign w:val="center"/>
          </w:tcPr>
          <w:p w14:paraId="7809C3B2" w14:textId="77777777" w:rsidR="00152B56" w:rsidRDefault="00152B56" w:rsidP="00152B56">
            <w:pPr>
              <w:pStyle w:val="Encabezado"/>
              <w:spacing w:before="120" w:after="120"/>
              <w:rPr>
                <w:rFonts w:ascii="Arial Narrow" w:hAnsi="Arial Narrow"/>
                <w:sz w:val="22"/>
                <w:szCs w:val="22"/>
              </w:rPr>
            </w:pPr>
            <w:r>
              <w:rPr>
                <w:rFonts w:ascii="Arial Narrow" w:hAnsi="Arial Narrow"/>
                <w:sz w:val="22"/>
                <w:szCs w:val="22"/>
              </w:rPr>
              <w:t>Se modificó el nombre y el código del procedimiento por cambio de nombre del proceso en el mapa de procesos de la Entidad, pasando de “</w:t>
            </w:r>
            <w:r w:rsidRPr="00255E1F">
              <w:rPr>
                <w:rFonts w:ascii="Arial Narrow" w:hAnsi="Arial Narrow"/>
                <w:sz w:val="22"/>
                <w:szCs w:val="22"/>
              </w:rPr>
              <w:t>contratación de mínima cuantía</w:t>
            </w:r>
            <w:r>
              <w:rPr>
                <w:rFonts w:ascii="Arial Narrow" w:hAnsi="Arial Narrow"/>
                <w:sz w:val="22"/>
                <w:szCs w:val="22"/>
              </w:rPr>
              <w:t xml:space="preserve">” código ABS_PR_05 de los procesos Adquisición de Bienes y Servicios a “Invitación pública mínima cuantía” </w:t>
            </w:r>
            <w:r w:rsidRPr="004B543F">
              <w:rPr>
                <w:rFonts w:ascii="Arial Narrow" w:hAnsi="Arial Narrow"/>
                <w:sz w:val="22"/>
                <w:szCs w:val="22"/>
              </w:rPr>
              <w:t>código GCT_PR_05 del</w:t>
            </w:r>
            <w:r>
              <w:rPr>
                <w:rFonts w:ascii="Arial Narrow" w:hAnsi="Arial Narrow"/>
                <w:sz w:val="22"/>
                <w:szCs w:val="22"/>
              </w:rPr>
              <w:t xml:space="preserve"> proceso Gestión Contractual, el cambio de nombre consistió en la inclusión del término invitación pública.</w:t>
            </w:r>
          </w:p>
          <w:p w14:paraId="29A5752F" w14:textId="77777777" w:rsidR="00152B56" w:rsidRDefault="00152B56" w:rsidP="00152B56">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Pr>
                <w:rFonts w:ascii="Arial Narrow" w:hAnsi="Arial Narrow"/>
                <w:sz w:val="22"/>
                <w:szCs w:val="22"/>
              </w:rPr>
              <w:t>.</w:t>
            </w:r>
          </w:p>
          <w:p w14:paraId="0D8E4FDF" w14:textId="4B8D46BE" w:rsidR="00152B56" w:rsidRPr="00255E1F" w:rsidRDefault="00152B56" w:rsidP="00152B56">
            <w:pPr>
              <w:pStyle w:val="Encabezado"/>
              <w:spacing w:before="120" w:after="120"/>
              <w:rPr>
                <w:rFonts w:ascii="Arial Narrow" w:hAnsi="Arial Narrow"/>
                <w:sz w:val="22"/>
                <w:szCs w:val="22"/>
              </w:rPr>
            </w:pPr>
            <w:r>
              <w:rPr>
                <w:rFonts w:ascii="Arial Narrow" w:hAnsi="Arial Narrow"/>
                <w:sz w:val="22"/>
                <w:szCs w:val="22"/>
              </w:rPr>
              <w:t xml:space="preserve">Se actualizó la </w:t>
            </w:r>
            <w:r w:rsidRPr="00255E1F">
              <w:rPr>
                <w:rFonts w:ascii="Arial Narrow" w:hAnsi="Arial Narrow"/>
                <w:sz w:val="22"/>
                <w:szCs w:val="22"/>
              </w:rPr>
              <w:t>normatividad</w:t>
            </w:r>
            <w:r>
              <w:rPr>
                <w:rFonts w:ascii="Arial Narrow" w:hAnsi="Arial Narrow"/>
                <w:sz w:val="22"/>
                <w:szCs w:val="22"/>
              </w:rPr>
              <w:t xml:space="preserve"> correspondiente</w:t>
            </w:r>
            <w:r w:rsidRPr="00255E1F">
              <w:rPr>
                <w:rFonts w:ascii="Arial Narrow" w:hAnsi="Arial Narrow"/>
                <w:sz w:val="22"/>
                <w:szCs w:val="22"/>
              </w:rPr>
              <w:t xml:space="preserve">, </w:t>
            </w:r>
            <w:r>
              <w:rPr>
                <w:rFonts w:ascii="Arial Narrow" w:hAnsi="Arial Narrow"/>
                <w:sz w:val="22"/>
                <w:szCs w:val="22"/>
              </w:rPr>
              <w:t xml:space="preserve">se incluyó </w:t>
            </w:r>
            <w:r w:rsidRPr="00255E1F">
              <w:rPr>
                <w:rFonts w:ascii="Arial Narrow" w:hAnsi="Arial Narrow"/>
                <w:sz w:val="22"/>
                <w:szCs w:val="22"/>
              </w:rPr>
              <w:t>nuevas definiciones, modificación de termino contrato por aceptación de oferta.</w:t>
            </w:r>
          </w:p>
        </w:tc>
      </w:tr>
      <w:tr w:rsidR="00D56124" w:rsidRPr="00817B38" w14:paraId="31BEC842" w14:textId="77777777" w:rsidTr="00BE2B39">
        <w:trPr>
          <w:trHeight w:val="567"/>
          <w:jc w:val="center"/>
        </w:trPr>
        <w:tc>
          <w:tcPr>
            <w:tcW w:w="2278" w:type="dxa"/>
            <w:vAlign w:val="center"/>
          </w:tcPr>
          <w:p w14:paraId="472F1ED6" w14:textId="2BB4038C" w:rsidR="00D56124" w:rsidRPr="00255E1F" w:rsidRDefault="00152B56" w:rsidP="00F027DE">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29/12/2022</w:t>
            </w:r>
          </w:p>
        </w:tc>
        <w:tc>
          <w:tcPr>
            <w:tcW w:w="997" w:type="dxa"/>
            <w:vAlign w:val="center"/>
          </w:tcPr>
          <w:p w14:paraId="75BEC930" w14:textId="75414115" w:rsidR="00D56124" w:rsidRPr="007516CA" w:rsidRDefault="00152B56" w:rsidP="00F027DE">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7</w:t>
            </w:r>
          </w:p>
        </w:tc>
        <w:tc>
          <w:tcPr>
            <w:tcW w:w="6028" w:type="dxa"/>
            <w:vAlign w:val="center"/>
          </w:tcPr>
          <w:p w14:paraId="7BE1315F" w14:textId="77777777" w:rsidR="007A3ACA" w:rsidRDefault="007A3ACA" w:rsidP="007A3ACA">
            <w:pPr>
              <w:pStyle w:val="NormalWeb"/>
              <w:spacing w:before="60" w:after="60"/>
              <w:jc w:val="both"/>
              <w:rPr>
                <w:rFonts w:ascii="Arial Narrow" w:eastAsia="Times New Roman" w:hAnsi="Arial Narrow"/>
                <w:color w:val="auto"/>
                <w:sz w:val="22"/>
                <w:szCs w:val="22"/>
              </w:rPr>
            </w:pPr>
            <w:r>
              <w:rPr>
                <w:rFonts w:ascii="Arial Narrow" w:eastAsia="Times New Roman" w:hAnsi="Arial Narrow"/>
                <w:color w:val="auto"/>
                <w:sz w:val="22"/>
                <w:szCs w:val="22"/>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33392149" w14:textId="09300F90" w:rsidR="007516CA" w:rsidRPr="00152B56" w:rsidRDefault="007A3ACA" w:rsidP="007A3ACA">
            <w:pPr>
              <w:pStyle w:val="NormalWeb"/>
              <w:spacing w:before="60" w:after="60"/>
              <w:jc w:val="both"/>
              <w:rPr>
                <w:lang w:val="es-CO"/>
              </w:rPr>
            </w:pPr>
            <w:r w:rsidRPr="007A3ACA">
              <w:rPr>
                <w:rFonts w:ascii="Arial Narrow" w:eastAsia="Times New Roman" w:hAnsi="Arial Narrow"/>
                <w:color w:val="auto"/>
                <w:sz w:val="22"/>
                <w:szCs w:val="22"/>
              </w:rPr>
              <w:t>Las fechas y nombres que aparecen en el control de revisión y aprobación (Créditos), obedecen a las fechas registradas en el documento antes de la migración del documento al nuevo mapa de procesos.</w:t>
            </w:r>
          </w:p>
        </w:tc>
      </w:tr>
    </w:tbl>
    <w:p w14:paraId="05CDACFF" w14:textId="4B939941" w:rsidR="00F027DE" w:rsidRDefault="00F027DE">
      <w:pPr>
        <w:rPr>
          <w:rFonts w:ascii="Arial Narrow" w:hAnsi="Arial Narrow"/>
          <w:sz w:val="22"/>
          <w:szCs w:val="22"/>
        </w:rPr>
      </w:pPr>
    </w:p>
    <w:p w14:paraId="5A587862" w14:textId="0F0F39DF" w:rsidR="004B543F" w:rsidRDefault="004B543F">
      <w:pPr>
        <w:rPr>
          <w:rFonts w:ascii="Arial Narrow" w:hAnsi="Arial Narrow"/>
          <w:sz w:val="22"/>
          <w:szCs w:val="22"/>
        </w:rPr>
      </w:pPr>
    </w:p>
    <w:p w14:paraId="562BD390" w14:textId="77777777" w:rsidR="004B543F" w:rsidRDefault="004B543F">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7013"/>
      </w:tblGrid>
      <w:tr w:rsidR="002F2F7D" w:rsidRPr="00E835FE" w14:paraId="09B7625E" w14:textId="77777777" w:rsidTr="00DD069F">
        <w:trPr>
          <w:trHeight w:val="330"/>
        </w:trPr>
        <w:tc>
          <w:tcPr>
            <w:tcW w:w="9286"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B98385F" w14:textId="77777777" w:rsidR="002F2F7D" w:rsidRPr="00E835FE" w:rsidRDefault="002F2F7D" w:rsidP="00964773">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191EA9" w:rsidRPr="00E835FE" w14:paraId="20350123" w14:textId="77777777" w:rsidTr="00DD069F">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5B45590F" w14:textId="77777777" w:rsidR="00191EA9" w:rsidRPr="00E835FE" w:rsidRDefault="00191EA9" w:rsidP="00191EA9">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E767509" w14:textId="77777777" w:rsidR="00191EA9" w:rsidRPr="00E835FE" w:rsidRDefault="00191EA9" w:rsidP="00191EA9">
            <w:pPr>
              <w:rPr>
                <w:rFonts w:ascii="Arial Narrow" w:hAnsi="Arial Narrow"/>
                <w:sz w:val="22"/>
                <w:szCs w:val="22"/>
              </w:rPr>
            </w:pPr>
            <w:r w:rsidRPr="00E835FE">
              <w:rPr>
                <w:rFonts w:ascii="Arial Narrow" w:hAnsi="Arial Narrow"/>
                <w:sz w:val="22"/>
                <w:szCs w:val="22"/>
              </w:rPr>
              <w:t xml:space="preserve">Nombre </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717492EA" w14:textId="63481966" w:rsidR="00191EA9" w:rsidRPr="00E835FE" w:rsidRDefault="00191EA9" w:rsidP="00191EA9">
            <w:pPr>
              <w:rPr>
                <w:rFonts w:ascii="Arial Narrow" w:hAnsi="Arial Narrow"/>
                <w:sz w:val="22"/>
                <w:szCs w:val="22"/>
              </w:rPr>
            </w:pPr>
            <w:r w:rsidRPr="008A07AE">
              <w:rPr>
                <w:rFonts w:ascii="Arial Narrow" w:hAnsi="Arial Narrow" w:cs="Arial"/>
                <w:sz w:val="22"/>
                <w:szCs w:val="22"/>
              </w:rPr>
              <w:t>Leidy Marcela Garavito Romero</w:t>
            </w:r>
          </w:p>
        </w:tc>
      </w:tr>
      <w:tr w:rsidR="00191EA9" w:rsidRPr="00E835FE" w14:paraId="5C09CB93" w14:textId="77777777" w:rsidTr="00DD069F">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C79655F" w14:textId="77777777" w:rsidR="00191EA9" w:rsidRPr="00E835FE" w:rsidRDefault="00191EA9" w:rsidP="00191EA9">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832B631" w14:textId="77777777" w:rsidR="00191EA9" w:rsidRPr="00E835FE" w:rsidRDefault="00191EA9" w:rsidP="00191EA9">
            <w:pPr>
              <w:rPr>
                <w:rFonts w:ascii="Arial Narrow" w:hAnsi="Arial Narrow"/>
                <w:sz w:val="22"/>
                <w:szCs w:val="22"/>
              </w:rPr>
            </w:pPr>
            <w:r w:rsidRPr="00E835FE">
              <w:rPr>
                <w:rFonts w:ascii="Arial Narrow" w:hAnsi="Arial Narrow"/>
                <w:sz w:val="22"/>
                <w:szCs w:val="22"/>
              </w:rPr>
              <w:t>Cargo</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5C8456FB" w14:textId="7675BE82" w:rsidR="00191EA9" w:rsidRPr="00E835FE" w:rsidRDefault="00191EA9" w:rsidP="00191EA9">
            <w:pPr>
              <w:rPr>
                <w:rFonts w:ascii="Arial Narrow" w:hAnsi="Arial Narrow"/>
                <w:sz w:val="22"/>
                <w:szCs w:val="22"/>
              </w:rPr>
            </w:pPr>
            <w:r>
              <w:rPr>
                <w:rFonts w:ascii="Arial Narrow" w:hAnsi="Arial Narrow" w:cs="Arial"/>
                <w:sz w:val="22"/>
                <w:szCs w:val="22"/>
              </w:rPr>
              <w:t>Profesional Especializado</w:t>
            </w:r>
            <w:r w:rsidRPr="008A07AE">
              <w:rPr>
                <w:rFonts w:ascii="Arial Narrow" w:hAnsi="Arial Narrow" w:cs="Arial"/>
                <w:sz w:val="22"/>
                <w:szCs w:val="22"/>
              </w:rPr>
              <w:t xml:space="preserve"> </w:t>
            </w:r>
            <w:r>
              <w:rPr>
                <w:rFonts w:ascii="Arial Narrow" w:hAnsi="Arial Narrow" w:cs="Arial"/>
                <w:sz w:val="22"/>
                <w:szCs w:val="22"/>
              </w:rPr>
              <w:t xml:space="preserve">– </w:t>
            </w:r>
            <w:r w:rsidRPr="00BE2B39">
              <w:rPr>
                <w:rFonts w:ascii="Arial Narrow" w:hAnsi="Arial Narrow" w:cs="Arial"/>
                <w:sz w:val="22"/>
                <w:szCs w:val="22"/>
              </w:rPr>
              <w:t>Grupo de Contratos</w:t>
            </w:r>
          </w:p>
        </w:tc>
      </w:tr>
      <w:tr w:rsidR="00191EA9" w:rsidRPr="00E835FE" w14:paraId="2AF97C68" w14:textId="77777777" w:rsidTr="00DD069F">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ED3B1EC" w14:textId="77777777" w:rsidR="00191EA9" w:rsidRPr="00E835FE" w:rsidRDefault="00191EA9" w:rsidP="00191EA9">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A5D9DAD" w14:textId="77777777" w:rsidR="00191EA9" w:rsidRPr="00E835FE" w:rsidRDefault="00191EA9" w:rsidP="00191EA9">
            <w:pPr>
              <w:rPr>
                <w:rFonts w:ascii="Arial Narrow" w:hAnsi="Arial Narrow"/>
                <w:sz w:val="22"/>
                <w:szCs w:val="22"/>
              </w:rPr>
            </w:pPr>
            <w:r w:rsidRPr="00E835FE">
              <w:rPr>
                <w:rFonts w:ascii="Arial Narrow" w:hAnsi="Arial Narrow"/>
                <w:sz w:val="22"/>
                <w:szCs w:val="22"/>
              </w:rPr>
              <w:t xml:space="preserve">Fecha </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1476C1E7" w14:textId="4046999A" w:rsidR="00191EA9" w:rsidRPr="00E835FE" w:rsidRDefault="00130533" w:rsidP="00191EA9">
            <w:pPr>
              <w:rPr>
                <w:rFonts w:ascii="Arial Narrow" w:hAnsi="Arial Narrow"/>
                <w:sz w:val="22"/>
                <w:szCs w:val="22"/>
              </w:rPr>
            </w:pPr>
            <w:r>
              <w:rPr>
                <w:rFonts w:ascii="Arial Narrow" w:hAnsi="Arial Narrow" w:cs="Arial"/>
                <w:sz w:val="22"/>
                <w:szCs w:val="22"/>
              </w:rPr>
              <w:t>18/11/2022</w:t>
            </w:r>
          </w:p>
        </w:tc>
      </w:tr>
      <w:tr w:rsidR="002F2F7D" w:rsidRPr="00E835FE" w14:paraId="5FFF6428" w14:textId="77777777" w:rsidTr="00DD069F">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026722E" w14:textId="77777777" w:rsidR="002F2F7D" w:rsidRPr="00E835FE" w:rsidRDefault="002F2F7D" w:rsidP="00964773">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DF724BB" w14:textId="77777777" w:rsidR="002F2F7D" w:rsidRPr="00E835FE" w:rsidRDefault="002F2F7D" w:rsidP="00964773">
            <w:pPr>
              <w:rPr>
                <w:rFonts w:ascii="Arial Narrow" w:hAnsi="Arial Narrow"/>
                <w:sz w:val="22"/>
                <w:szCs w:val="22"/>
              </w:rPr>
            </w:pPr>
            <w:r w:rsidRPr="00E835FE">
              <w:rPr>
                <w:rFonts w:ascii="Arial Narrow" w:hAnsi="Arial Narrow"/>
                <w:sz w:val="22"/>
                <w:szCs w:val="22"/>
              </w:rPr>
              <w:t xml:space="preserve">Nombre </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2D48E17E" w14:textId="2819E31F" w:rsidR="002F2F7D" w:rsidRPr="00E835FE" w:rsidRDefault="002F2F7D" w:rsidP="00964773">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2F2F7D" w:rsidRPr="00E835FE" w14:paraId="52074623" w14:textId="77777777" w:rsidTr="00DD069F">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3B23403" w14:textId="77777777" w:rsidR="002F2F7D" w:rsidRPr="00E835FE" w:rsidRDefault="002F2F7D"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6823CFE" w14:textId="77777777" w:rsidR="002F2F7D" w:rsidRPr="00E835FE" w:rsidRDefault="002F2F7D" w:rsidP="00964773">
            <w:pPr>
              <w:rPr>
                <w:rFonts w:ascii="Arial Narrow" w:hAnsi="Arial Narrow"/>
                <w:sz w:val="22"/>
                <w:szCs w:val="22"/>
              </w:rPr>
            </w:pPr>
            <w:r w:rsidRPr="00E835FE">
              <w:rPr>
                <w:rFonts w:ascii="Arial Narrow" w:hAnsi="Arial Narrow"/>
                <w:sz w:val="22"/>
                <w:szCs w:val="22"/>
              </w:rPr>
              <w:t>Cargo</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0D6AB751" w14:textId="5DD301A5" w:rsidR="002F2F7D" w:rsidRPr="00E835FE" w:rsidRDefault="002F2F7D" w:rsidP="00964773">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2F2F7D" w:rsidRPr="00E835FE" w14:paraId="51FE085B" w14:textId="77777777" w:rsidTr="00DD069F">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C1A90E4" w14:textId="77777777" w:rsidR="002F2F7D" w:rsidRPr="00E835FE" w:rsidRDefault="002F2F7D"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235756A" w14:textId="77777777" w:rsidR="002F2F7D" w:rsidRPr="00E835FE" w:rsidRDefault="002F2F7D" w:rsidP="00964773">
            <w:pPr>
              <w:rPr>
                <w:rFonts w:ascii="Arial Narrow" w:hAnsi="Arial Narrow"/>
                <w:sz w:val="22"/>
                <w:szCs w:val="22"/>
              </w:rPr>
            </w:pPr>
            <w:r w:rsidRPr="00E835FE">
              <w:rPr>
                <w:rFonts w:ascii="Arial Narrow" w:hAnsi="Arial Narrow"/>
                <w:sz w:val="22"/>
                <w:szCs w:val="22"/>
              </w:rPr>
              <w:t xml:space="preserve">Fecha: </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77E61D46" w14:textId="61EC169F" w:rsidR="002F2F7D" w:rsidRPr="00E835FE" w:rsidRDefault="004D4290" w:rsidP="00964773">
            <w:pPr>
              <w:rPr>
                <w:rFonts w:ascii="Arial Narrow" w:hAnsi="Arial Narrow"/>
                <w:sz w:val="22"/>
                <w:szCs w:val="22"/>
              </w:rPr>
            </w:pPr>
            <w:r>
              <w:rPr>
                <w:rFonts w:ascii="Arial Narrow" w:hAnsi="Arial Narrow" w:cs="Arial"/>
                <w:sz w:val="22"/>
                <w:szCs w:val="22"/>
              </w:rPr>
              <w:t>14/12/2022</w:t>
            </w:r>
          </w:p>
        </w:tc>
      </w:tr>
      <w:tr w:rsidR="00A839B1" w:rsidRPr="00E835FE" w14:paraId="39AEE0D9" w14:textId="77777777" w:rsidTr="00DD069F">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99363B4" w14:textId="77777777" w:rsidR="00A839B1" w:rsidRPr="00E835FE" w:rsidRDefault="00A839B1" w:rsidP="00A839B1">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46649F4C" w14:textId="77777777" w:rsidR="00A839B1" w:rsidRPr="00E835FE" w:rsidRDefault="00A839B1" w:rsidP="00A839B1">
            <w:pPr>
              <w:rPr>
                <w:rFonts w:ascii="Arial Narrow" w:hAnsi="Arial Narrow"/>
                <w:sz w:val="22"/>
                <w:szCs w:val="22"/>
              </w:rPr>
            </w:pPr>
            <w:r w:rsidRPr="00E835FE">
              <w:rPr>
                <w:rFonts w:ascii="Arial Narrow" w:hAnsi="Arial Narrow"/>
                <w:sz w:val="22"/>
                <w:szCs w:val="22"/>
              </w:rPr>
              <w:t xml:space="preserve">Nombre </w:t>
            </w:r>
          </w:p>
        </w:tc>
        <w:tc>
          <w:tcPr>
            <w:tcW w:w="7013" w:type="dxa"/>
            <w:tcBorders>
              <w:top w:val="single" w:sz="4" w:space="0" w:color="auto"/>
              <w:left w:val="nil"/>
              <w:right w:val="single" w:sz="4" w:space="0" w:color="000000"/>
            </w:tcBorders>
            <w:shd w:val="clear" w:color="auto" w:fill="auto"/>
            <w:vAlign w:val="center"/>
          </w:tcPr>
          <w:p w14:paraId="1D3FF536" w14:textId="77EFB549" w:rsidR="00A839B1" w:rsidRPr="00E835FE" w:rsidRDefault="00A839B1" w:rsidP="00A839B1">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A839B1" w:rsidRPr="00E835FE" w14:paraId="072F9F82" w14:textId="77777777" w:rsidTr="00DD069F">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4F4C292" w14:textId="77777777" w:rsidR="00A839B1" w:rsidRPr="00E835FE" w:rsidRDefault="00A839B1" w:rsidP="00A839B1">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CD9176F" w14:textId="77777777" w:rsidR="00A839B1" w:rsidRPr="00E835FE" w:rsidRDefault="00A839B1" w:rsidP="00A839B1">
            <w:pPr>
              <w:rPr>
                <w:rFonts w:ascii="Arial Narrow" w:hAnsi="Arial Narrow"/>
                <w:sz w:val="22"/>
                <w:szCs w:val="22"/>
              </w:rPr>
            </w:pPr>
            <w:r w:rsidRPr="00E835FE">
              <w:rPr>
                <w:rFonts w:ascii="Arial Narrow" w:hAnsi="Arial Narrow"/>
                <w:sz w:val="22"/>
                <w:szCs w:val="22"/>
              </w:rPr>
              <w:t>Cargo</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6F64C03C" w14:textId="2DD56907" w:rsidR="00A839B1" w:rsidRPr="00E835FE" w:rsidRDefault="00A839B1" w:rsidP="00A839B1">
            <w:pPr>
              <w:rPr>
                <w:rFonts w:ascii="Arial Narrow" w:hAnsi="Arial Narrow"/>
                <w:sz w:val="22"/>
                <w:szCs w:val="22"/>
              </w:rPr>
            </w:pPr>
            <w:r>
              <w:rPr>
                <w:rFonts w:ascii="Arial Narrow" w:hAnsi="Arial Narrow" w:cs="Arial"/>
                <w:sz w:val="22"/>
                <w:szCs w:val="22"/>
              </w:rPr>
              <w:t>Coordinadora Grupo de Contratos</w:t>
            </w:r>
          </w:p>
        </w:tc>
      </w:tr>
      <w:tr w:rsidR="00A839B1" w:rsidRPr="00E835FE" w14:paraId="6A0A0584" w14:textId="77777777" w:rsidTr="00DD069F">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906EC4F" w14:textId="77777777" w:rsidR="00A839B1" w:rsidRPr="00E835FE" w:rsidRDefault="00A839B1" w:rsidP="00A839B1">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9A46160" w14:textId="77777777" w:rsidR="00A839B1" w:rsidRPr="00E835FE" w:rsidRDefault="00A839B1" w:rsidP="00A839B1">
            <w:pPr>
              <w:rPr>
                <w:rFonts w:ascii="Arial Narrow" w:hAnsi="Arial Narrow"/>
                <w:sz w:val="22"/>
                <w:szCs w:val="22"/>
              </w:rPr>
            </w:pPr>
            <w:r w:rsidRPr="00E835FE">
              <w:rPr>
                <w:rFonts w:ascii="Arial Narrow" w:hAnsi="Arial Narrow"/>
                <w:sz w:val="22"/>
                <w:szCs w:val="22"/>
              </w:rPr>
              <w:t xml:space="preserve">Fecha: </w:t>
            </w:r>
          </w:p>
        </w:tc>
        <w:tc>
          <w:tcPr>
            <w:tcW w:w="7013" w:type="dxa"/>
            <w:tcBorders>
              <w:top w:val="single" w:sz="4" w:space="0" w:color="auto"/>
              <w:left w:val="nil"/>
              <w:bottom w:val="single" w:sz="4" w:space="0" w:color="auto"/>
              <w:right w:val="single" w:sz="4" w:space="0" w:color="000000"/>
            </w:tcBorders>
            <w:shd w:val="clear" w:color="auto" w:fill="auto"/>
            <w:vAlign w:val="center"/>
          </w:tcPr>
          <w:p w14:paraId="22386F14" w14:textId="02EA4CEA" w:rsidR="00A839B1" w:rsidRPr="00E835FE" w:rsidRDefault="004B543F" w:rsidP="00A839B1">
            <w:pPr>
              <w:rPr>
                <w:rFonts w:ascii="Arial Narrow" w:hAnsi="Arial Narrow"/>
                <w:sz w:val="22"/>
                <w:szCs w:val="22"/>
              </w:rPr>
            </w:pPr>
            <w:r>
              <w:rPr>
                <w:rFonts w:ascii="Arial Narrow" w:hAnsi="Arial Narrow"/>
                <w:sz w:val="22"/>
                <w:szCs w:val="22"/>
              </w:rPr>
              <w:t>16</w:t>
            </w:r>
            <w:r w:rsidR="00CE42F2">
              <w:rPr>
                <w:rFonts w:ascii="Arial Narrow" w:hAnsi="Arial Narrow"/>
                <w:sz w:val="22"/>
                <w:szCs w:val="22"/>
              </w:rPr>
              <w:t>/12/2022</w:t>
            </w:r>
          </w:p>
        </w:tc>
      </w:tr>
    </w:tbl>
    <w:p w14:paraId="618E0C8B" w14:textId="77777777" w:rsidR="00C60993" w:rsidRPr="00E835FE" w:rsidRDefault="00C60993">
      <w:pPr>
        <w:rPr>
          <w:rFonts w:ascii="Arial Narrow" w:hAnsi="Arial Narrow"/>
          <w:sz w:val="22"/>
          <w:szCs w:val="22"/>
        </w:rPr>
      </w:pPr>
    </w:p>
    <w:p w14:paraId="5A5A6F79" w14:textId="77777777" w:rsidR="00F404F2" w:rsidRPr="00E835FE" w:rsidRDefault="00F404F2" w:rsidP="00D86B09">
      <w:pPr>
        <w:tabs>
          <w:tab w:val="left" w:pos="1106"/>
        </w:tabs>
        <w:rPr>
          <w:rFonts w:ascii="Arial Narrow" w:hAnsi="Arial Narrow"/>
          <w:sz w:val="22"/>
          <w:szCs w:val="22"/>
        </w:rPr>
      </w:pPr>
    </w:p>
    <w:p w14:paraId="5A734FC5" w14:textId="52DEA5DD" w:rsidR="00F027DE" w:rsidRDefault="00F027DE">
      <w:pPr>
        <w:tabs>
          <w:tab w:val="left" w:pos="1106"/>
        </w:tabs>
        <w:rPr>
          <w:rFonts w:ascii="Arial Narrow" w:hAnsi="Arial Narrow"/>
          <w:sz w:val="22"/>
          <w:szCs w:val="22"/>
        </w:rPr>
        <w:sectPr w:rsidR="00F027DE" w:rsidSect="00905912">
          <w:headerReference w:type="default" r:id="rId17"/>
          <w:footerReference w:type="default" r:id="rId18"/>
          <w:headerReference w:type="first" r:id="rId19"/>
          <w:footerReference w:type="first" r:id="rId20"/>
          <w:pgSz w:w="12242" w:h="15842" w:code="120"/>
          <w:pgMar w:top="1701" w:right="1134" w:bottom="1418" w:left="1701" w:header="567" w:footer="709" w:gutter="0"/>
          <w:cols w:space="708"/>
          <w:titlePg/>
          <w:docGrid w:linePitch="360"/>
        </w:sectPr>
      </w:pPr>
    </w:p>
    <w:p w14:paraId="167F9555" w14:textId="19EE8C7D" w:rsidR="002F2F7D" w:rsidRDefault="002F2F7D" w:rsidP="00F027DE">
      <w:pPr>
        <w:tabs>
          <w:tab w:val="left" w:pos="1106"/>
        </w:tabs>
        <w:jc w:val="center"/>
        <w:rPr>
          <w:rFonts w:ascii="Arial Narrow" w:hAnsi="Arial Narrow"/>
          <w:sz w:val="22"/>
          <w:szCs w:val="22"/>
        </w:rPr>
        <w:sectPr w:rsidR="002F2F7D" w:rsidSect="00905912">
          <w:headerReference w:type="default" r:id="rId21"/>
          <w:headerReference w:type="first" r:id="rId22"/>
          <w:pgSz w:w="12242" w:h="15842" w:code="120"/>
          <w:pgMar w:top="1701" w:right="1134" w:bottom="1418" w:left="1701" w:header="567" w:footer="709" w:gutter="0"/>
          <w:cols w:space="708"/>
          <w:titlePg/>
          <w:docGrid w:linePitch="360"/>
        </w:sectPr>
      </w:pPr>
    </w:p>
    <w:p w14:paraId="7807A725" w14:textId="7B4A0F90" w:rsidR="001B21FA" w:rsidRDefault="001B21FA" w:rsidP="00F027DE">
      <w:pPr>
        <w:tabs>
          <w:tab w:val="left" w:pos="1106"/>
        </w:tabs>
        <w:jc w:val="center"/>
        <w:rPr>
          <w:rFonts w:ascii="Arial Narrow" w:hAnsi="Arial Narrow"/>
          <w:sz w:val="22"/>
          <w:szCs w:val="22"/>
        </w:rPr>
      </w:pPr>
    </w:p>
    <w:p w14:paraId="39CBE616" w14:textId="6BEA1DAE" w:rsidR="00C41A66" w:rsidRDefault="00DD069F" w:rsidP="00F027DE">
      <w:pPr>
        <w:tabs>
          <w:tab w:val="left" w:pos="1106"/>
        </w:tabs>
        <w:jc w:val="center"/>
        <w:rPr>
          <w:rFonts w:ascii="Arial Narrow" w:hAnsi="Arial Narrow"/>
          <w:sz w:val="22"/>
          <w:szCs w:val="22"/>
        </w:rPr>
      </w:pPr>
      <w:r w:rsidRPr="00DD069F">
        <w:rPr>
          <w:noProof/>
        </w:rPr>
        <w:drawing>
          <wp:inline distT="0" distB="0" distL="0" distR="0" wp14:anchorId="081B1376" wp14:editId="08EF5F44">
            <wp:extent cx="5970662" cy="71916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884" cy="7228034"/>
                    </a:xfrm>
                    <a:prstGeom prst="rect">
                      <a:avLst/>
                    </a:prstGeom>
                    <a:noFill/>
                    <a:ln>
                      <a:noFill/>
                    </a:ln>
                  </pic:spPr>
                </pic:pic>
              </a:graphicData>
            </a:graphic>
          </wp:inline>
        </w:drawing>
      </w:r>
    </w:p>
    <w:p w14:paraId="0F819646" w14:textId="3DE61490" w:rsidR="00DD069F" w:rsidRDefault="00DD069F" w:rsidP="00F027DE">
      <w:pPr>
        <w:tabs>
          <w:tab w:val="left" w:pos="1106"/>
        </w:tabs>
        <w:jc w:val="center"/>
        <w:rPr>
          <w:rFonts w:ascii="Arial Narrow" w:hAnsi="Arial Narrow"/>
          <w:sz w:val="22"/>
          <w:szCs w:val="22"/>
        </w:rPr>
      </w:pPr>
    </w:p>
    <w:p w14:paraId="1DE95E79" w14:textId="05DAEFCA" w:rsidR="00DD069F" w:rsidRPr="00DD069F" w:rsidRDefault="00DD069F" w:rsidP="00DD069F">
      <w:pPr>
        <w:tabs>
          <w:tab w:val="left" w:pos="3723"/>
        </w:tabs>
        <w:rPr>
          <w:rFonts w:ascii="Arial Narrow" w:hAnsi="Arial Narrow"/>
          <w:sz w:val="22"/>
          <w:szCs w:val="22"/>
        </w:rPr>
      </w:pPr>
      <w:r>
        <w:rPr>
          <w:rFonts w:ascii="Arial Narrow" w:hAnsi="Arial Narrow"/>
          <w:sz w:val="22"/>
          <w:szCs w:val="22"/>
        </w:rPr>
        <w:tab/>
      </w:r>
      <w:r w:rsidR="00D027EA">
        <w:rPr>
          <w:noProof/>
        </w:rPr>
        <w:t>|</w:t>
      </w:r>
      <w:r w:rsidRPr="00DD069F">
        <w:rPr>
          <w:noProof/>
        </w:rPr>
        <w:drawing>
          <wp:inline distT="0" distB="0" distL="0" distR="0" wp14:anchorId="0E2B27FC" wp14:editId="78A8C56E">
            <wp:extent cx="5973445" cy="6257773"/>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3445" cy="6257773"/>
                    </a:xfrm>
                    <a:prstGeom prst="rect">
                      <a:avLst/>
                    </a:prstGeom>
                    <a:noFill/>
                    <a:ln>
                      <a:noFill/>
                    </a:ln>
                  </pic:spPr>
                </pic:pic>
              </a:graphicData>
            </a:graphic>
          </wp:inline>
        </w:drawing>
      </w:r>
    </w:p>
    <w:sectPr w:rsidR="00DD069F" w:rsidRPr="00DD069F" w:rsidSect="002F2F7D">
      <w:footerReference w:type="default" r:id="rId25"/>
      <w:type w:val="continuous"/>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E720A" w14:textId="77777777" w:rsidR="000859CC" w:rsidRDefault="000859CC">
      <w:r>
        <w:separator/>
      </w:r>
    </w:p>
  </w:endnote>
  <w:endnote w:type="continuationSeparator" w:id="0">
    <w:p w14:paraId="06CD97E1" w14:textId="77777777" w:rsidR="000859CC" w:rsidRDefault="0008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211871"/>
      <w:docPartObj>
        <w:docPartGallery w:val="Page Numbers (Bottom of Page)"/>
        <w:docPartUnique/>
      </w:docPartObj>
    </w:sdtPr>
    <w:sdtEndPr/>
    <w:sdtContent>
      <w:sdt>
        <w:sdtPr>
          <w:id w:val="1728636285"/>
          <w:docPartObj>
            <w:docPartGallery w:val="Page Numbers (Top of Page)"/>
            <w:docPartUnique/>
          </w:docPartObj>
        </w:sdtPr>
        <w:sdtEndPr/>
        <w:sdtContent>
          <w:p w14:paraId="0D171D52" w14:textId="7D092F96" w:rsidR="00F2111A" w:rsidRPr="00F2111A" w:rsidRDefault="00F2111A" w:rsidP="00F2111A">
            <w:pPr>
              <w:pStyle w:val="Piedepgina"/>
              <w:jc w:val="center"/>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t>8</w:t>
            </w:r>
          </w:p>
        </w:sdtContent>
      </w:sdt>
    </w:sdtContent>
  </w:sdt>
  <w:p w14:paraId="2EF1E9B3" w14:textId="77777777" w:rsidR="00F2111A" w:rsidRDefault="00F211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6194" w14:textId="77777777" w:rsidR="00DD069F" w:rsidRDefault="00DD069F" w:rsidP="00DD069F">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13844"/>
      <w:docPartObj>
        <w:docPartGallery w:val="Page Numbers (Bottom of Page)"/>
        <w:docPartUnique/>
      </w:docPartObj>
    </w:sdtPr>
    <w:sdtEndPr/>
    <w:sdtContent>
      <w:sdt>
        <w:sdtPr>
          <w:id w:val="1610777060"/>
          <w:docPartObj>
            <w:docPartGallery w:val="Page Numbers (Top of Page)"/>
            <w:docPartUnique/>
          </w:docPartObj>
        </w:sdtPr>
        <w:sdtEndPr/>
        <w:sdtContent>
          <w:p w14:paraId="340F3B42" w14:textId="72B125BF" w:rsidR="00F2111A" w:rsidRPr="00F2111A" w:rsidRDefault="000859CC" w:rsidP="00F2111A">
            <w:pPr>
              <w:pStyle w:val="Piedepgina"/>
              <w:jc w:val="center"/>
              <w:rPr>
                <w:b/>
                <w:bCs/>
                <w:sz w:val="24"/>
                <w:szCs w:val="24"/>
              </w:rPr>
            </w:pPr>
          </w:p>
        </w:sdtContent>
      </w:sdt>
    </w:sdtContent>
  </w:sdt>
  <w:p w14:paraId="476116B6" w14:textId="77777777" w:rsidR="00F2111A" w:rsidRDefault="00F211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6DFC" w14:textId="77777777" w:rsidR="000859CC" w:rsidRDefault="000859CC">
      <w:r>
        <w:separator/>
      </w:r>
    </w:p>
  </w:footnote>
  <w:footnote w:type="continuationSeparator" w:id="0">
    <w:p w14:paraId="5CADCF68" w14:textId="77777777" w:rsidR="000859CC" w:rsidRDefault="0008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8"/>
      <w:gridCol w:w="5601"/>
      <w:gridCol w:w="2227"/>
    </w:tblGrid>
    <w:tr w:rsidR="004B543F" w14:paraId="1385F17F" w14:textId="77777777" w:rsidTr="004B543F">
      <w:trPr>
        <w:cantSplit/>
        <w:trHeight w:val="567"/>
        <w:tblHeader/>
      </w:trPr>
      <w:tc>
        <w:tcPr>
          <w:tcW w:w="1528" w:type="dxa"/>
          <w:vMerge w:val="restart"/>
        </w:tcPr>
        <w:p w14:paraId="50A02AE2" w14:textId="77777777" w:rsidR="004B543F" w:rsidRDefault="004B543F" w:rsidP="004B543F">
          <w:pPr>
            <w:pStyle w:val="Encabezado"/>
          </w:pPr>
        </w:p>
        <w:p w14:paraId="2B9A045B" w14:textId="20007C7C" w:rsidR="004B543F" w:rsidRDefault="004B543F" w:rsidP="004B543F">
          <w:pPr>
            <w:pStyle w:val="Encabezado"/>
            <w:jc w:val="center"/>
          </w:pPr>
          <w:r>
            <w:rPr>
              <w:noProof/>
            </w:rPr>
            <w:drawing>
              <wp:inline distT="0" distB="0" distL="0" distR="0" wp14:anchorId="4DB47078" wp14:editId="35AEE93F">
                <wp:extent cx="881449" cy="708454"/>
                <wp:effectExtent l="0" t="0" r="0" b="0"/>
                <wp:docPr id="23" name="image3.png">
                  <a:extLst xmlns:a="http://schemas.openxmlformats.org/drawingml/2006/main">
                    <a:ext uri="{FF2B5EF4-FFF2-40B4-BE49-F238E27FC236}">
                      <a16:creationId xmlns:a16="http://schemas.microsoft.com/office/drawing/2014/main" id="{482A5988-B846-4FAE-8C9F-B12852A7199D}"/>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FF2B5EF4-FFF2-40B4-BE49-F238E27FC236}">
                              <a16:creationId xmlns:a16="http://schemas.microsoft.com/office/drawing/2014/main" id="{482A5988-B846-4FAE-8C9F-B12852A7199D}"/>
                            </a:ext>
                          </a:extLst>
                        </pic:cNvPr>
                        <pic:cNvPicPr/>
                      </pic:nvPicPr>
                      <pic:blipFill>
                        <a:blip r:embed="rId1"/>
                        <a:srcRect/>
                        <a:stretch>
                          <a:fillRect/>
                        </a:stretch>
                      </pic:blipFill>
                      <pic:spPr>
                        <a:xfrm>
                          <a:off x="0" y="0"/>
                          <a:ext cx="887040" cy="712948"/>
                        </a:xfrm>
                        <a:prstGeom prst="rect">
                          <a:avLst/>
                        </a:prstGeom>
                        <a:ln/>
                      </pic:spPr>
                    </pic:pic>
                  </a:graphicData>
                </a:graphic>
              </wp:inline>
            </w:drawing>
          </w:r>
        </w:p>
      </w:tc>
      <w:tc>
        <w:tcPr>
          <w:tcW w:w="5601" w:type="dxa"/>
          <w:vMerge w:val="restart"/>
          <w:vAlign w:val="center"/>
        </w:tcPr>
        <w:p w14:paraId="4DD44690" w14:textId="77777777" w:rsidR="004B543F" w:rsidRDefault="004B543F" w:rsidP="004B543F">
          <w:pPr>
            <w:pStyle w:val="Encabezado"/>
            <w:jc w:val="center"/>
            <w:rPr>
              <w:rFonts w:ascii="Arial Narrow" w:hAnsi="Arial Narrow"/>
              <w:b/>
              <w:sz w:val="22"/>
            </w:rPr>
          </w:pPr>
          <w:r w:rsidRPr="00E835FE">
            <w:rPr>
              <w:rFonts w:ascii="Arial Narrow" w:hAnsi="Arial Narrow"/>
              <w:b/>
              <w:sz w:val="22"/>
            </w:rPr>
            <w:t xml:space="preserve">PROCEDIMIENTO </w:t>
          </w:r>
        </w:p>
        <w:p w14:paraId="3C4E6281" w14:textId="77777777" w:rsidR="004B543F" w:rsidRDefault="004B543F" w:rsidP="004B543F">
          <w:pPr>
            <w:pStyle w:val="Encabezado"/>
            <w:jc w:val="center"/>
            <w:rPr>
              <w:rFonts w:ascii="Arial Narrow" w:hAnsi="Arial Narrow"/>
              <w:b/>
              <w:sz w:val="22"/>
            </w:rPr>
          </w:pPr>
        </w:p>
        <w:p w14:paraId="4EA5F23F" w14:textId="6B0F12BA" w:rsidR="004B543F" w:rsidRPr="00F377BF" w:rsidRDefault="004B543F" w:rsidP="004B543F">
          <w:pPr>
            <w:pStyle w:val="Encabezado"/>
            <w:jc w:val="center"/>
            <w:rPr>
              <w:rFonts w:ascii="Arial Narrow" w:hAnsi="Arial Narrow"/>
              <w:b/>
              <w:sz w:val="22"/>
            </w:rPr>
          </w:pPr>
          <w:r>
            <w:rPr>
              <w:rFonts w:ascii="Arial Narrow" w:hAnsi="Arial Narrow"/>
              <w:b/>
              <w:sz w:val="22"/>
            </w:rPr>
            <w:t>INVITACIÓN PÚBLICA MÍNIMA CUANTÍA</w:t>
          </w:r>
        </w:p>
      </w:tc>
      <w:tc>
        <w:tcPr>
          <w:tcW w:w="2227" w:type="dxa"/>
          <w:vAlign w:val="center"/>
        </w:tcPr>
        <w:p w14:paraId="548B78B3" w14:textId="0CC68441" w:rsidR="004B543F" w:rsidRPr="00C44E60" w:rsidRDefault="004B543F" w:rsidP="004B543F">
          <w:pPr>
            <w:pStyle w:val="Encabezado"/>
            <w:rPr>
              <w:rFonts w:ascii="Arial Narrow" w:hAnsi="Arial Narrow"/>
              <w:highlight w:val="yellow"/>
            </w:rPr>
          </w:pPr>
          <w:r w:rsidRPr="004B543F">
            <w:rPr>
              <w:rFonts w:ascii="Arial Narrow" w:hAnsi="Arial Narrow"/>
            </w:rPr>
            <w:t xml:space="preserve">Código: </w:t>
          </w:r>
          <w:r w:rsidR="00152B56" w:rsidRPr="00152B56">
            <w:rPr>
              <w:rFonts w:ascii="Arial Narrow" w:hAnsi="Arial Narrow"/>
            </w:rPr>
            <w:t>A5-PR-05</w:t>
          </w:r>
        </w:p>
      </w:tc>
    </w:tr>
    <w:tr w:rsidR="004B543F" w14:paraId="44B5F17D" w14:textId="77777777" w:rsidTr="004B543F">
      <w:trPr>
        <w:cantSplit/>
        <w:trHeight w:val="567"/>
        <w:tblHeader/>
      </w:trPr>
      <w:tc>
        <w:tcPr>
          <w:tcW w:w="1528" w:type="dxa"/>
          <w:vMerge/>
        </w:tcPr>
        <w:p w14:paraId="148E43BF" w14:textId="77777777" w:rsidR="004B543F" w:rsidRDefault="004B543F" w:rsidP="004B543F">
          <w:pPr>
            <w:pStyle w:val="Encabezado"/>
            <w:rPr>
              <w:lang w:val="en-US"/>
            </w:rPr>
          </w:pPr>
        </w:p>
      </w:tc>
      <w:tc>
        <w:tcPr>
          <w:tcW w:w="5601" w:type="dxa"/>
          <w:vMerge/>
          <w:vAlign w:val="center"/>
        </w:tcPr>
        <w:p w14:paraId="30C9A91D" w14:textId="77777777" w:rsidR="004B543F" w:rsidRDefault="004B543F" w:rsidP="004B543F">
          <w:pPr>
            <w:pStyle w:val="Encabezado"/>
            <w:rPr>
              <w:lang w:val="en-US"/>
            </w:rPr>
          </w:pPr>
        </w:p>
      </w:tc>
      <w:tc>
        <w:tcPr>
          <w:tcW w:w="2227" w:type="dxa"/>
          <w:vAlign w:val="center"/>
        </w:tcPr>
        <w:p w14:paraId="3C2A967A" w14:textId="5BAAC561" w:rsidR="004B543F" w:rsidRPr="00C44E60" w:rsidRDefault="004B543F" w:rsidP="004B543F">
          <w:pPr>
            <w:pStyle w:val="Encabezado"/>
            <w:ind w:left="-94" w:firstLine="94"/>
            <w:rPr>
              <w:rFonts w:ascii="Arial Narrow" w:hAnsi="Arial Narrow"/>
              <w:highlight w:val="yellow"/>
            </w:rPr>
          </w:pPr>
          <w:r w:rsidRPr="004B543F">
            <w:rPr>
              <w:rFonts w:ascii="Arial Narrow" w:hAnsi="Arial Narrow"/>
            </w:rPr>
            <w:t xml:space="preserve">Versión: </w:t>
          </w:r>
          <w:r w:rsidR="00152B56">
            <w:rPr>
              <w:rFonts w:ascii="Arial Narrow" w:hAnsi="Arial Narrow"/>
            </w:rPr>
            <w:t>1</w:t>
          </w:r>
        </w:p>
      </w:tc>
    </w:tr>
    <w:tr w:rsidR="004B543F" w14:paraId="5689AD48" w14:textId="77777777" w:rsidTr="004B543F">
      <w:trPr>
        <w:cantSplit/>
        <w:trHeight w:val="567"/>
        <w:tblHeader/>
      </w:trPr>
      <w:tc>
        <w:tcPr>
          <w:tcW w:w="1528" w:type="dxa"/>
          <w:vMerge/>
        </w:tcPr>
        <w:p w14:paraId="12FE12E4" w14:textId="77777777" w:rsidR="004B543F" w:rsidRDefault="004B543F" w:rsidP="004B543F">
          <w:pPr>
            <w:pStyle w:val="Encabezado"/>
          </w:pPr>
        </w:p>
      </w:tc>
      <w:tc>
        <w:tcPr>
          <w:tcW w:w="5601" w:type="dxa"/>
          <w:vMerge/>
          <w:vAlign w:val="center"/>
        </w:tcPr>
        <w:p w14:paraId="38277D6F" w14:textId="77777777" w:rsidR="004B543F" w:rsidRDefault="004B543F" w:rsidP="004B543F">
          <w:pPr>
            <w:pStyle w:val="Encabezado"/>
          </w:pPr>
        </w:p>
      </w:tc>
      <w:tc>
        <w:tcPr>
          <w:tcW w:w="2227" w:type="dxa"/>
          <w:vAlign w:val="center"/>
        </w:tcPr>
        <w:p w14:paraId="2D1A90E1" w14:textId="5E7EB107" w:rsidR="004B543F" w:rsidRPr="00C44E60" w:rsidRDefault="004B543F" w:rsidP="004B543F">
          <w:pPr>
            <w:pStyle w:val="Encabezado"/>
            <w:rPr>
              <w:rFonts w:ascii="Arial Narrow" w:hAnsi="Arial Narrow"/>
              <w:highlight w:val="yellow"/>
            </w:rPr>
          </w:pPr>
          <w:r w:rsidRPr="004B543F">
            <w:rPr>
              <w:rFonts w:ascii="Arial Narrow" w:hAnsi="Arial Narrow"/>
            </w:rPr>
            <w:t xml:space="preserve">Vigente desde: </w:t>
          </w:r>
          <w:r w:rsidR="00D779AD" w:rsidRPr="00D779AD">
            <w:rPr>
              <w:rFonts w:ascii="Arial Narrow" w:hAnsi="Arial Narrow"/>
            </w:rPr>
            <w:t>19/12/2023</w:t>
          </w:r>
        </w:p>
      </w:tc>
    </w:tr>
  </w:tbl>
  <w:p w14:paraId="7C662D88" w14:textId="76EDA8FF" w:rsidR="001A41E0" w:rsidRDefault="001A41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8C50ED" w14:paraId="5B3FA014" w14:textId="77777777" w:rsidTr="00905912">
      <w:trPr>
        <w:cantSplit/>
        <w:trHeight w:val="567"/>
        <w:tblHeader/>
      </w:trPr>
      <w:tc>
        <w:tcPr>
          <w:tcW w:w="1418" w:type="dxa"/>
          <w:vMerge w:val="restart"/>
        </w:tcPr>
        <w:p w14:paraId="20EB62EA" w14:textId="77777777" w:rsidR="008C50ED" w:rsidRDefault="008C50ED" w:rsidP="00905912">
          <w:pPr>
            <w:pStyle w:val="Encabezado"/>
          </w:pPr>
        </w:p>
        <w:p w14:paraId="2801DE6A" w14:textId="77777777" w:rsidR="00D0380A" w:rsidRDefault="00D0380A">
          <w:pPr>
            <w:pStyle w:val="Encabezado"/>
            <w:jc w:val="center"/>
            <w:rPr>
              <w:noProof/>
            </w:rPr>
          </w:pPr>
        </w:p>
        <w:p w14:paraId="013E7C02" w14:textId="691F2288" w:rsidR="008C50ED" w:rsidRDefault="00C960F4">
          <w:pPr>
            <w:pStyle w:val="Encabezado"/>
            <w:jc w:val="center"/>
          </w:pPr>
          <w:r>
            <w:rPr>
              <w:rFonts w:eastAsia="Arial"/>
              <w:noProof/>
              <w:szCs w:val="20"/>
            </w:rPr>
            <w:drawing>
              <wp:inline distT="114300" distB="114300" distL="114300" distR="114300" wp14:anchorId="6A7CAAAC" wp14:editId="4BAC7E92">
                <wp:extent cx="809625" cy="6985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05072109" w14:textId="77777777" w:rsidR="00BE2B39" w:rsidRDefault="008C50ED" w:rsidP="00F377BF">
          <w:pPr>
            <w:pStyle w:val="Encabezado"/>
            <w:jc w:val="center"/>
            <w:rPr>
              <w:rFonts w:ascii="Arial Narrow" w:hAnsi="Arial Narrow"/>
              <w:b/>
              <w:sz w:val="22"/>
            </w:rPr>
          </w:pPr>
          <w:r w:rsidRPr="00E835FE">
            <w:rPr>
              <w:rFonts w:ascii="Arial Narrow" w:hAnsi="Arial Narrow"/>
              <w:b/>
              <w:sz w:val="22"/>
            </w:rPr>
            <w:t xml:space="preserve">PROCEDIMIENTO </w:t>
          </w:r>
        </w:p>
        <w:p w14:paraId="539F4A92" w14:textId="77777777" w:rsidR="00BE2B39" w:rsidRDefault="00BE2B39" w:rsidP="00F377BF">
          <w:pPr>
            <w:pStyle w:val="Encabezado"/>
            <w:jc w:val="center"/>
            <w:rPr>
              <w:rFonts w:ascii="Arial Narrow" w:hAnsi="Arial Narrow"/>
              <w:b/>
              <w:sz w:val="22"/>
            </w:rPr>
          </w:pPr>
        </w:p>
        <w:p w14:paraId="59DD6F60" w14:textId="6A6C30F6" w:rsidR="008C50ED" w:rsidRPr="00F377BF" w:rsidRDefault="00192C75" w:rsidP="00F377BF">
          <w:pPr>
            <w:pStyle w:val="Encabezado"/>
            <w:jc w:val="center"/>
            <w:rPr>
              <w:rFonts w:ascii="Arial Narrow" w:hAnsi="Arial Narrow"/>
              <w:b/>
              <w:sz w:val="22"/>
            </w:rPr>
          </w:pPr>
          <w:r>
            <w:rPr>
              <w:rFonts w:ascii="Arial Narrow" w:hAnsi="Arial Narrow"/>
              <w:b/>
              <w:sz w:val="22"/>
            </w:rPr>
            <w:t>INVITACIÓN PÚBLICA MÍNIMA CUANTÍA</w:t>
          </w:r>
        </w:p>
      </w:tc>
      <w:tc>
        <w:tcPr>
          <w:tcW w:w="2252" w:type="dxa"/>
          <w:tcBorders>
            <w:bottom w:val="single" w:sz="4" w:space="0" w:color="auto"/>
          </w:tcBorders>
          <w:vAlign w:val="center"/>
        </w:tcPr>
        <w:p w14:paraId="1F06999B" w14:textId="20639AEB" w:rsidR="008C50ED" w:rsidRPr="004B543F" w:rsidRDefault="008C50ED">
          <w:pPr>
            <w:pStyle w:val="Encabezado"/>
            <w:rPr>
              <w:rFonts w:ascii="Arial Narrow" w:hAnsi="Arial Narrow"/>
              <w:sz w:val="18"/>
              <w:lang w:val="en-US"/>
            </w:rPr>
          </w:pPr>
          <w:r w:rsidRPr="004B543F">
            <w:rPr>
              <w:rFonts w:ascii="Arial Narrow" w:hAnsi="Arial Narrow"/>
            </w:rPr>
            <w:t xml:space="preserve">Código: </w:t>
          </w:r>
          <w:r w:rsidR="002E511C" w:rsidRPr="002E511C">
            <w:rPr>
              <w:rFonts w:ascii="Arial Narrow" w:hAnsi="Arial Narrow"/>
            </w:rPr>
            <w:t>A5-PR-05</w:t>
          </w:r>
        </w:p>
      </w:tc>
    </w:tr>
    <w:tr w:rsidR="008C50ED" w14:paraId="6215E512" w14:textId="77777777" w:rsidTr="00905912">
      <w:trPr>
        <w:cantSplit/>
        <w:trHeight w:val="567"/>
        <w:tblHeader/>
      </w:trPr>
      <w:tc>
        <w:tcPr>
          <w:tcW w:w="1418" w:type="dxa"/>
          <w:vMerge/>
        </w:tcPr>
        <w:p w14:paraId="32ED1820" w14:textId="77777777" w:rsidR="008C50ED" w:rsidRDefault="008C50ED">
          <w:pPr>
            <w:pStyle w:val="Encabezado"/>
            <w:rPr>
              <w:lang w:val="en-US"/>
            </w:rPr>
          </w:pPr>
        </w:p>
      </w:tc>
      <w:tc>
        <w:tcPr>
          <w:tcW w:w="5686" w:type="dxa"/>
          <w:vMerge/>
          <w:vAlign w:val="center"/>
        </w:tcPr>
        <w:p w14:paraId="4CC35CF0" w14:textId="77777777" w:rsidR="008C50ED" w:rsidRDefault="008C50ED">
          <w:pPr>
            <w:pStyle w:val="Encabezado"/>
            <w:rPr>
              <w:lang w:val="en-US"/>
            </w:rPr>
          </w:pPr>
        </w:p>
      </w:tc>
      <w:tc>
        <w:tcPr>
          <w:tcW w:w="2252" w:type="dxa"/>
          <w:tcBorders>
            <w:bottom w:val="single" w:sz="4" w:space="0" w:color="auto"/>
          </w:tcBorders>
          <w:vAlign w:val="center"/>
        </w:tcPr>
        <w:p w14:paraId="7DD150CE" w14:textId="79929052" w:rsidR="008C50ED" w:rsidRPr="004B543F" w:rsidRDefault="008C50ED" w:rsidP="00905912">
          <w:pPr>
            <w:pStyle w:val="Encabezado"/>
            <w:ind w:left="-94" w:firstLine="94"/>
            <w:rPr>
              <w:rFonts w:ascii="Arial Narrow" w:hAnsi="Arial Narrow"/>
            </w:rPr>
          </w:pPr>
          <w:r w:rsidRPr="004B543F">
            <w:rPr>
              <w:rFonts w:ascii="Arial Narrow" w:hAnsi="Arial Narrow"/>
            </w:rPr>
            <w:t xml:space="preserve">Versión: </w:t>
          </w:r>
          <w:r w:rsidR="002E511C">
            <w:rPr>
              <w:rFonts w:ascii="Arial Narrow" w:hAnsi="Arial Narrow"/>
            </w:rPr>
            <w:t>1</w:t>
          </w:r>
        </w:p>
      </w:tc>
    </w:tr>
    <w:tr w:rsidR="008C50ED" w14:paraId="72B7F7EE" w14:textId="77777777" w:rsidTr="00905912">
      <w:trPr>
        <w:cantSplit/>
        <w:trHeight w:val="567"/>
        <w:tblHeader/>
      </w:trPr>
      <w:tc>
        <w:tcPr>
          <w:tcW w:w="1418" w:type="dxa"/>
          <w:vMerge/>
        </w:tcPr>
        <w:p w14:paraId="7D01D5A7" w14:textId="77777777" w:rsidR="008C50ED" w:rsidRDefault="008C50ED">
          <w:pPr>
            <w:pStyle w:val="Encabezado"/>
          </w:pPr>
        </w:p>
      </w:tc>
      <w:tc>
        <w:tcPr>
          <w:tcW w:w="5686" w:type="dxa"/>
          <w:vMerge/>
          <w:vAlign w:val="center"/>
        </w:tcPr>
        <w:p w14:paraId="4A6E5A02" w14:textId="77777777" w:rsidR="008C50ED" w:rsidRDefault="008C50ED">
          <w:pPr>
            <w:pStyle w:val="Encabezado"/>
          </w:pPr>
        </w:p>
      </w:tc>
      <w:tc>
        <w:tcPr>
          <w:tcW w:w="2252" w:type="dxa"/>
          <w:vAlign w:val="center"/>
        </w:tcPr>
        <w:p w14:paraId="067FDFC3" w14:textId="2CE9B488" w:rsidR="008C50ED" w:rsidRPr="004B543F" w:rsidRDefault="008C50ED" w:rsidP="00227D5D">
          <w:pPr>
            <w:pStyle w:val="Encabezado"/>
          </w:pPr>
          <w:r w:rsidRPr="004B543F">
            <w:rPr>
              <w:rFonts w:ascii="Arial Narrow" w:hAnsi="Arial Narrow"/>
            </w:rPr>
            <w:t>Vigente desde:</w:t>
          </w:r>
          <w:r w:rsidR="00D15CE1" w:rsidRPr="004B543F">
            <w:rPr>
              <w:rFonts w:ascii="Arial Narrow" w:hAnsi="Arial Narrow"/>
            </w:rPr>
            <w:t xml:space="preserve"> </w:t>
          </w:r>
          <w:r w:rsidR="00D779AD" w:rsidRPr="00D779AD">
            <w:rPr>
              <w:rFonts w:ascii="Arial Narrow" w:hAnsi="Arial Narrow"/>
            </w:rPr>
            <w:t>19/12/2023</w:t>
          </w:r>
        </w:p>
      </w:tc>
    </w:tr>
  </w:tbl>
  <w:p w14:paraId="16AF593A" w14:textId="77777777" w:rsidR="008C50ED" w:rsidRDefault="008C50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0"/>
      <w:gridCol w:w="5399"/>
      <w:gridCol w:w="2167"/>
    </w:tblGrid>
    <w:tr w:rsidR="004B543F" w14:paraId="52A32189" w14:textId="77777777" w:rsidTr="004B543F">
      <w:trPr>
        <w:cantSplit/>
        <w:trHeight w:val="567"/>
        <w:tblHeader/>
      </w:trPr>
      <w:tc>
        <w:tcPr>
          <w:tcW w:w="1790" w:type="dxa"/>
          <w:vMerge w:val="restart"/>
        </w:tcPr>
        <w:p w14:paraId="5CE15689" w14:textId="77777777" w:rsidR="004B543F" w:rsidRDefault="004B543F" w:rsidP="004B543F">
          <w:pPr>
            <w:pStyle w:val="Encabezado"/>
          </w:pPr>
        </w:p>
        <w:p w14:paraId="4BC1BDF4" w14:textId="515E795A" w:rsidR="004B543F" w:rsidRDefault="004B543F" w:rsidP="004B543F">
          <w:pPr>
            <w:pStyle w:val="Encabezado"/>
            <w:jc w:val="center"/>
          </w:pPr>
          <w:r>
            <w:rPr>
              <w:noProof/>
            </w:rPr>
            <w:drawing>
              <wp:inline distT="0" distB="0" distL="0" distR="0" wp14:anchorId="30624923" wp14:editId="0DB37C52">
                <wp:extent cx="1046205" cy="724930"/>
                <wp:effectExtent l="0" t="0" r="1905" b="0"/>
                <wp:docPr id="36" name="image3.png">
                  <a:extLst xmlns:a="http://schemas.openxmlformats.org/drawingml/2006/main">
                    <a:ext uri="{FF2B5EF4-FFF2-40B4-BE49-F238E27FC236}">
                      <a16:creationId xmlns:a16="http://schemas.microsoft.com/office/drawing/2014/main" id="{482A5988-B846-4FAE-8C9F-B12852A7199D}"/>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FF2B5EF4-FFF2-40B4-BE49-F238E27FC236}">
                              <a16:creationId xmlns:a16="http://schemas.microsoft.com/office/drawing/2014/main" id="{482A5988-B846-4FAE-8C9F-B12852A7199D}"/>
                            </a:ext>
                          </a:extLst>
                        </pic:cNvPr>
                        <pic:cNvPicPr/>
                      </pic:nvPicPr>
                      <pic:blipFill>
                        <a:blip r:embed="rId1"/>
                        <a:srcRect/>
                        <a:stretch>
                          <a:fillRect/>
                        </a:stretch>
                      </pic:blipFill>
                      <pic:spPr>
                        <a:xfrm>
                          <a:off x="0" y="0"/>
                          <a:ext cx="1054115" cy="730411"/>
                        </a:xfrm>
                        <a:prstGeom prst="rect">
                          <a:avLst/>
                        </a:prstGeom>
                        <a:ln/>
                      </pic:spPr>
                    </pic:pic>
                  </a:graphicData>
                </a:graphic>
              </wp:inline>
            </w:drawing>
          </w:r>
        </w:p>
      </w:tc>
      <w:tc>
        <w:tcPr>
          <w:tcW w:w="5399" w:type="dxa"/>
          <w:vMerge w:val="restart"/>
          <w:vAlign w:val="center"/>
        </w:tcPr>
        <w:p w14:paraId="62A120F7" w14:textId="77777777" w:rsidR="004B543F" w:rsidRPr="00E835FE" w:rsidRDefault="004B543F" w:rsidP="004B543F">
          <w:pPr>
            <w:pStyle w:val="Encabezado"/>
            <w:jc w:val="center"/>
            <w:rPr>
              <w:rFonts w:ascii="Arial Narrow" w:hAnsi="Arial Narrow"/>
              <w:b/>
              <w:sz w:val="22"/>
            </w:rPr>
          </w:pPr>
          <w:r>
            <w:rPr>
              <w:rFonts w:ascii="Arial Narrow" w:hAnsi="Arial Narrow"/>
              <w:b/>
              <w:sz w:val="22"/>
            </w:rPr>
            <w:t>ANEXO 1</w:t>
          </w:r>
        </w:p>
        <w:p w14:paraId="5A7A9013" w14:textId="77777777" w:rsidR="004B543F" w:rsidRPr="00E835FE" w:rsidRDefault="004B543F" w:rsidP="004B543F">
          <w:pPr>
            <w:pStyle w:val="Encabezado"/>
            <w:jc w:val="center"/>
            <w:rPr>
              <w:rFonts w:ascii="Arial Narrow" w:hAnsi="Arial Narrow"/>
              <w:b/>
              <w:sz w:val="22"/>
            </w:rPr>
          </w:pPr>
        </w:p>
        <w:p w14:paraId="2AF61BC5" w14:textId="77777777" w:rsidR="004B543F" w:rsidRPr="002607D0" w:rsidRDefault="004B543F" w:rsidP="004B543F">
          <w:pPr>
            <w:pStyle w:val="Encabezado"/>
            <w:jc w:val="center"/>
            <w:rPr>
              <w:rFonts w:ascii="Arial Narrow" w:hAnsi="Arial Narrow"/>
              <w:b/>
            </w:rPr>
          </w:pPr>
          <w:r w:rsidRPr="008C50ED">
            <w:rPr>
              <w:rFonts w:ascii="Arial Narrow" w:hAnsi="Arial Narrow"/>
              <w:b/>
              <w:sz w:val="22"/>
            </w:rPr>
            <w:t xml:space="preserve">FLUJOGRAMA PROCEDIMIENTO </w:t>
          </w:r>
          <w:r>
            <w:rPr>
              <w:rFonts w:ascii="Arial Narrow" w:hAnsi="Arial Narrow"/>
              <w:b/>
              <w:sz w:val="22"/>
            </w:rPr>
            <w:t>INVITACIÓN PÚBLICA MÍNIMA CUANTÍA</w:t>
          </w:r>
        </w:p>
      </w:tc>
      <w:tc>
        <w:tcPr>
          <w:tcW w:w="2167" w:type="dxa"/>
          <w:vAlign w:val="center"/>
        </w:tcPr>
        <w:p w14:paraId="55BE47F2" w14:textId="34E48611" w:rsidR="004B543F" w:rsidRPr="002F2F7D" w:rsidRDefault="004B543F" w:rsidP="004B543F">
          <w:pPr>
            <w:pStyle w:val="Encabezado"/>
            <w:rPr>
              <w:rFonts w:ascii="Arial Narrow" w:hAnsi="Arial Narrow"/>
              <w:highlight w:val="yellow"/>
            </w:rPr>
          </w:pPr>
          <w:r w:rsidRPr="004B543F">
            <w:rPr>
              <w:rFonts w:ascii="Arial Narrow" w:hAnsi="Arial Narrow"/>
            </w:rPr>
            <w:t>Código: GCT_PR_05</w:t>
          </w:r>
        </w:p>
      </w:tc>
    </w:tr>
    <w:tr w:rsidR="004B543F" w14:paraId="29DC6064" w14:textId="77777777" w:rsidTr="004B543F">
      <w:trPr>
        <w:cantSplit/>
        <w:trHeight w:val="567"/>
        <w:tblHeader/>
      </w:trPr>
      <w:tc>
        <w:tcPr>
          <w:tcW w:w="1790" w:type="dxa"/>
          <w:vMerge/>
        </w:tcPr>
        <w:p w14:paraId="574A5D09" w14:textId="77777777" w:rsidR="004B543F" w:rsidRDefault="004B543F" w:rsidP="004B543F">
          <w:pPr>
            <w:pStyle w:val="Encabezado"/>
            <w:rPr>
              <w:lang w:val="en-US"/>
            </w:rPr>
          </w:pPr>
        </w:p>
      </w:tc>
      <w:tc>
        <w:tcPr>
          <w:tcW w:w="5399" w:type="dxa"/>
          <w:vMerge/>
          <w:vAlign w:val="center"/>
        </w:tcPr>
        <w:p w14:paraId="5ADFFB0F" w14:textId="77777777" w:rsidR="004B543F" w:rsidRDefault="004B543F" w:rsidP="004B543F">
          <w:pPr>
            <w:pStyle w:val="Encabezado"/>
            <w:rPr>
              <w:lang w:val="en-US"/>
            </w:rPr>
          </w:pPr>
        </w:p>
      </w:tc>
      <w:tc>
        <w:tcPr>
          <w:tcW w:w="2167" w:type="dxa"/>
          <w:vAlign w:val="center"/>
        </w:tcPr>
        <w:p w14:paraId="0E001031" w14:textId="3DF80D1F" w:rsidR="004B543F" w:rsidRPr="002F2F7D" w:rsidRDefault="004B543F" w:rsidP="004B543F">
          <w:pPr>
            <w:pStyle w:val="Encabezado"/>
            <w:ind w:left="-94" w:firstLine="94"/>
            <w:rPr>
              <w:rFonts w:ascii="Arial Narrow" w:hAnsi="Arial Narrow"/>
              <w:highlight w:val="yellow"/>
            </w:rPr>
          </w:pPr>
          <w:r w:rsidRPr="004B543F">
            <w:rPr>
              <w:rFonts w:ascii="Arial Narrow" w:hAnsi="Arial Narrow"/>
            </w:rPr>
            <w:t>Versión: 7</w:t>
          </w:r>
        </w:p>
      </w:tc>
    </w:tr>
    <w:tr w:rsidR="004B543F" w14:paraId="17F2E4D2" w14:textId="77777777" w:rsidTr="004B543F">
      <w:trPr>
        <w:cantSplit/>
        <w:trHeight w:val="567"/>
        <w:tblHeader/>
      </w:trPr>
      <w:tc>
        <w:tcPr>
          <w:tcW w:w="1790" w:type="dxa"/>
          <w:vMerge/>
        </w:tcPr>
        <w:p w14:paraId="066AA550" w14:textId="77777777" w:rsidR="004B543F" w:rsidRDefault="004B543F" w:rsidP="004B543F">
          <w:pPr>
            <w:pStyle w:val="Encabezado"/>
          </w:pPr>
        </w:p>
      </w:tc>
      <w:tc>
        <w:tcPr>
          <w:tcW w:w="5399" w:type="dxa"/>
          <w:vMerge/>
          <w:vAlign w:val="center"/>
        </w:tcPr>
        <w:p w14:paraId="44549E64" w14:textId="77777777" w:rsidR="004B543F" w:rsidRDefault="004B543F" w:rsidP="004B543F">
          <w:pPr>
            <w:pStyle w:val="Encabezado"/>
          </w:pPr>
        </w:p>
      </w:tc>
      <w:tc>
        <w:tcPr>
          <w:tcW w:w="2167" w:type="dxa"/>
          <w:vAlign w:val="center"/>
        </w:tcPr>
        <w:p w14:paraId="6528C11A" w14:textId="09B9D139" w:rsidR="004B543F" w:rsidRPr="002F2F7D" w:rsidRDefault="004B543F" w:rsidP="004B543F">
          <w:pPr>
            <w:pStyle w:val="Encabezado"/>
            <w:rPr>
              <w:rFonts w:ascii="Arial Narrow" w:hAnsi="Arial Narrow"/>
              <w:highlight w:val="yellow"/>
            </w:rPr>
          </w:pPr>
          <w:r w:rsidRPr="004B543F">
            <w:rPr>
              <w:rFonts w:ascii="Arial Narrow" w:hAnsi="Arial Narrow"/>
            </w:rPr>
            <w:t xml:space="preserve">Vigente desde: </w:t>
          </w:r>
          <w:r w:rsidR="00D779AD" w:rsidRPr="00D779AD">
            <w:rPr>
              <w:rFonts w:ascii="Arial Narrow" w:hAnsi="Arial Narrow"/>
            </w:rPr>
            <w:t>19/12/2023</w:t>
          </w:r>
        </w:p>
      </w:tc>
    </w:tr>
  </w:tbl>
  <w:p w14:paraId="06C1B69D" w14:textId="77777777" w:rsidR="001A41E0" w:rsidRDefault="001A41E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0"/>
      <w:gridCol w:w="5445"/>
      <w:gridCol w:w="2181"/>
    </w:tblGrid>
    <w:tr w:rsidR="004B543F" w14:paraId="1D0DCED3" w14:textId="77777777" w:rsidTr="004B543F">
      <w:trPr>
        <w:cantSplit/>
        <w:trHeight w:val="567"/>
        <w:tblHeader/>
      </w:trPr>
      <w:tc>
        <w:tcPr>
          <w:tcW w:w="1730" w:type="dxa"/>
          <w:vMerge w:val="restart"/>
        </w:tcPr>
        <w:p w14:paraId="4DCA175F" w14:textId="77777777" w:rsidR="004B543F" w:rsidRDefault="004B543F" w:rsidP="004B543F">
          <w:pPr>
            <w:pStyle w:val="Encabezado"/>
          </w:pPr>
        </w:p>
        <w:p w14:paraId="5CEF7027" w14:textId="5B160F78" w:rsidR="004B543F" w:rsidRDefault="004B543F" w:rsidP="004B543F">
          <w:pPr>
            <w:pStyle w:val="Encabezado"/>
            <w:jc w:val="center"/>
          </w:pPr>
          <w:r>
            <w:rPr>
              <w:noProof/>
            </w:rPr>
            <w:drawing>
              <wp:inline distT="0" distB="0" distL="0" distR="0" wp14:anchorId="785C5ED5" wp14:editId="777D525F">
                <wp:extent cx="1005016" cy="724930"/>
                <wp:effectExtent l="0" t="0" r="5080" b="0"/>
                <wp:docPr id="22" name="image3.png">
                  <a:extLst xmlns:a="http://schemas.openxmlformats.org/drawingml/2006/main">
                    <a:ext uri="{FF2B5EF4-FFF2-40B4-BE49-F238E27FC236}">
                      <a16:creationId xmlns:a16="http://schemas.microsoft.com/office/drawing/2014/main" id="{482A5988-B846-4FAE-8C9F-B12852A7199D}"/>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FF2B5EF4-FFF2-40B4-BE49-F238E27FC236}">
                              <a16:creationId xmlns:a16="http://schemas.microsoft.com/office/drawing/2014/main" id="{482A5988-B846-4FAE-8C9F-B12852A7199D}"/>
                            </a:ext>
                          </a:extLst>
                        </pic:cNvPr>
                        <pic:cNvPicPr/>
                      </pic:nvPicPr>
                      <pic:blipFill>
                        <a:blip r:embed="rId1"/>
                        <a:srcRect/>
                        <a:stretch>
                          <a:fillRect/>
                        </a:stretch>
                      </pic:blipFill>
                      <pic:spPr>
                        <a:xfrm>
                          <a:off x="0" y="0"/>
                          <a:ext cx="1016141" cy="732954"/>
                        </a:xfrm>
                        <a:prstGeom prst="rect">
                          <a:avLst/>
                        </a:prstGeom>
                        <a:ln/>
                      </pic:spPr>
                    </pic:pic>
                  </a:graphicData>
                </a:graphic>
              </wp:inline>
            </w:drawing>
          </w:r>
        </w:p>
      </w:tc>
      <w:tc>
        <w:tcPr>
          <w:tcW w:w="5445" w:type="dxa"/>
          <w:vMerge w:val="restart"/>
          <w:vAlign w:val="center"/>
        </w:tcPr>
        <w:p w14:paraId="68AE5D6F" w14:textId="58699AF9" w:rsidR="004B543F" w:rsidRPr="00E835FE" w:rsidRDefault="004B543F" w:rsidP="004B543F">
          <w:pPr>
            <w:pStyle w:val="Encabezado"/>
            <w:jc w:val="center"/>
            <w:rPr>
              <w:rFonts w:ascii="Arial Narrow" w:hAnsi="Arial Narrow"/>
              <w:b/>
              <w:sz w:val="22"/>
            </w:rPr>
          </w:pPr>
          <w:r>
            <w:rPr>
              <w:rFonts w:ascii="Arial Narrow" w:hAnsi="Arial Narrow"/>
              <w:b/>
              <w:sz w:val="22"/>
            </w:rPr>
            <w:t>ANEXO 1</w:t>
          </w:r>
        </w:p>
        <w:p w14:paraId="0443604B" w14:textId="77777777" w:rsidR="004B543F" w:rsidRPr="00E835FE" w:rsidRDefault="004B543F" w:rsidP="004B543F">
          <w:pPr>
            <w:pStyle w:val="Encabezado"/>
            <w:jc w:val="center"/>
            <w:rPr>
              <w:rFonts w:ascii="Arial Narrow" w:hAnsi="Arial Narrow"/>
              <w:b/>
              <w:sz w:val="22"/>
            </w:rPr>
          </w:pPr>
        </w:p>
        <w:p w14:paraId="27D1BF1E" w14:textId="180EA22E" w:rsidR="004B543F" w:rsidRPr="002607D0" w:rsidRDefault="004B543F" w:rsidP="004B543F">
          <w:pPr>
            <w:pStyle w:val="Encabezado"/>
            <w:jc w:val="center"/>
            <w:rPr>
              <w:rFonts w:ascii="Arial Narrow" w:hAnsi="Arial Narrow"/>
              <w:b/>
            </w:rPr>
          </w:pPr>
          <w:r w:rsidRPr="008C50ED">
            <w:rPr>
              <w:rFonts w:ascii="Arial Narrow" w:hAnsi="Arial Narrow"/>
              <w:b/>
              <w:sz w:val="22"/>
            </w:rPr>
            <w:t xml:space="preserve">FLUJOGRAMA PROCEDIMIENTO </w:t>
          </w:r>
          <w:r>
            <w:rPr>
              <w:rFonts w:ascii="Arial Narrow" w:hAnsi="Arial Narrow"/>
              <w:b/>
              <w:sz w:val="22"/>
            </w:rPr>
            <w:t>INVITACIÓN PÚBLICA MÍNIMA CUANTÍA</w:t>
          </w:r>
        </w:p>
      </w:tc>
      <w:tc>
        <w:tcPr>
          <w:tcW w:w="2181" w:type="dxa"/>
          <w:vAlign w:val="center"/>
        </w:tcPr>
        <w:p w14:paraId="1B6413B6" w14:textId="639ED236" w:rsidR="004B543F" w:rsidRPr="002F2F7D" w:rsidRDefault="004B543F" w:rsidP="004B543F">
          <w:pPr>
            <w:pStyle w:val="Encabezado"/>
            <w:rPr>
              <w:rFonts w:ascii="Arial Narrow" w:hAnsi="Arial Narrow"/>
              <w:highlight w:val="yellow"/>
            </w:rPr>
          </w:pPr>
          <w:r w:rsidRPr="004B543F">
            <w:rPr>
              <w:rFonts w:ascii="Arial Narrow" w:hAnsi="Arial Narrow"/>
            </w:rPr>
            <w:t xml:space="preserve">Código: </w:t>
          </w:r>
          <w:r w:rsidR="00152B56" w:rsidRPr="00152B56">
            <w:rPr>
              <w:rFonts w:ascii="Arial Narrow" w:hAnsi="Arial Narrow"/>
            </w:rPr>
            <w:t>A5-PR-05</w:t>
          </w:r>
        </w:p>
      </w:tc>
    </w:tr>
    <w:tr w:rsidR="004B543F" w14:paraId="68F75603" w14:textId="77777777" w:rsidTr="004B543F">
      <w:trPr>
        <w:cantSplit/>
        <w:trHeight w:val="567"/>
        <w:tblHeader/>
      </w:trPr>
      <w:tc>
        <w:tcPr>
          <w:tcW w:w="1730" w:type="dxa"/>
          <w:vMerge/>
        </w:tcPr>
        <w:p w14:paraId="35C43790" w14:textId="77777777" w:rsidR="004B543F" w:rsidRDefault="004B543F" w:rsidP="004B543F">
          <w:pPr>
            <w:pStyle w:val="Encabezado"/>
            <w:rPr>
              <w:lang w:val="en-US"/>
            </w:rPr>
          </w:pPr>
        </w:p>
      </w:tc>
      <w:tc>
        <w:tcPr>
          <w:tcW w:w="5445" w:type="dxa"/>
          <w:vMerge/>
          <w:vAlign w:val="center"/>
        </w:tcPr>
        <w:p w14:paraId="43947105" w14:textId="77777777" w:rsidR="004B543F" w:rsidRDefault="004B543F" w:rsidP="004B543F">
          <w:pPr>
            <w:pStyle w:val="Encabezado"/>
            <w:rPr>
              <w:lang w:val="en-US"/>
            </w:rPr>
          </w:pPr>
        </w:p>
      </w:tc>
      <w:tc>
        <w:tcPr>
          <w:tcW w:w="2181" w:type="dxa"/>
          <w:vAlign w:val="center"/>
        </w:tcPr>
        <w:p w14:paraId="78613714" w14:textId="362E12CE" w:rsidR="004B543F" w:rsidRPr="002F2F7D" w:rsidRDefault="004B543F" w:rsidP="004B543F">
          <w:pPr>
            <w:pStyle w:val="Encabezado"/>
            <w:ind w:left="-94" w:firstLine="94"/>
            <w:rPr>
              <w:rFonts w:ascii="Arial Narrow" w:hAnsi="Arial Narrow"/>
              <w:highlight w:val="yellow"/>
            </w:rPr>
          </w:pPr>
          <w:r w:rsidRPr="004B543F">
            <w:rPr>
              <w:rFonts w:ascii="Arial Narrow" w:hAnsi="Arial Narrow"/>
            </w:rPr>
            <w:t xml:space="preserve">Versión: </w:t>
          </w:r>
          <w:r w:rsidR="00152B56">
            <w:rPr>
              <w:rFonts w:ascii="Arial Narrow" w:hAnsi="Arial Narrow"/>
            </w:rPr>
            <w:t>1</w:t>
          </w:r>
        </w:p>
      </w:tc>
    </w:tr>
    <w:tr w:rsidR="004B543F" w14:paraId="0B86CD47" w14:textId="77777777" w:rsidTr="004B543F">
      <w:trPr>
        <w:cantSplit/>
        <w:trHeight w:val="567"/>
        <w:tblHeader/>
      </w:trPr>
      <w:tc>
        <w:tcPr>
          <w:tcW w:w="1730" w:type="dxa"/>
          <w:vMerge/>
        </w:tcPr>
        <w:p w14:paraId="73ABA6A6" w14:textId="77777777" w:rsidR="004B543F" w:rsidRDefault="004B543F" w:rsidP="004B543F">
          <w:pPr>
            <w:pStyle w:val="Encabezado"/>
          </w:pPr>
        </w:p>
      </w:tc>
      <w:tc>
        <w:tcPr>
          <w:tcW w:w="5445" w:type="dxa"/>
          <w:vMerge/>
          <w:vAlign w:val="center"/>
        </w:tcPr>
        <w:p w14:paraId="1B252E49" w14:textId="77777777" w:rsidR="004B543F" w:rsidRDefault="004B543F" w:rsidP="004B543F">
          <w:pPr>
            <w:pStyle w:val="Encabezado"/>
          </w:pPr>
        </w:p>
      </w:tc>
      <w:tc>
        <w:tcPr>
          <w:tcW w:w="2181" w:type="dxa"/>
          <w:vAlign w:val="center"/>
        </w:tcPr>
        <w:p w14:paraId="1FC0C17C" w14:textId="2A20AF64" w:rsidR="004B543F" w:rsidRPr="002F2F7D" w:rsidRDefault="004B543F" w:rsidP="004B543F">
          <w:pPr>
            <w:pStyle w:val="Encabezado"/>
            <w:rPr>
              <w:rFonts w:ascii="Arial Narrow" w:hAnsi="Arial Narrow"/>
              <w:highlight w:val="yellow"/>
            </w:rPr>
          </w:pPr>
          <w:r w:rsidRPr="004B543F">
            <w:rPr>
              <w:rFonts w:ascii="Arial Narrow" w:hAnsi="Arial Narrow"/>
            </w:rPr>
            <w:t xml:space="preserve">Vigente desde: </w:t>
          </w:r>
          <w:r w:rsidR="00D779AD" w:rsidRPr="00D779AD">
            <w:rPr>
              <w:rFonts w:ascii="Arial Narrow" w:hAnsi="Arial Narrow"/>
            </w:rPr>
            <w:t>19/12/2023</w:t>
          </w:r>
        </w:p>
      </w:tc>
    </w:tr>
  </w:tbl>
  <w:p w14:paraId="4D7DC3AE" w14:textId="77777777" w:rsidR="008C50ED" w:rsidRDefault="008C50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1C6A72"/>
    <w:multiLevelType w:val="hybridMultilevel"/>
    <w:tmpl w:val="CD7EF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CB7F87"/>
    <w:multiLevelType w:val="hybridMultilevel"/>
    <w:tmpl w:val="8A22C934"/>
    <w:lvl w:ilvl="0" w:tplc="10828E40">
      <w:start w:val="1"/>
      <w:numFmt w:val="bullet"/>
      <w:lvlText w:val="•"/>
      <w:lvlJc w:val="left"/>
      <w:pPr>
        <w:ind w:left="720" w:hanging="360"/>
      </w:pPr>
      <w:rPr>
        <w:rFonts w:ascii="Times New Roman"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9E1CA3"/>
    <w:multiLevelType w:val="hybridMultilevel"/>
    <w:tmpl w:val="7F5C5342"/>
    <w:lvl w:ilvl="0" w:tplc="D50E14C0">
      <w:start w:val="1"/>
      <w:numFmt w:val="bullet"/>
      <w:lvlText w:val="•"/>
      <w:lvlJc w:val="left"/>
      <w:pPr>
        <w:ind w:left="340" w:hanging="340"/>
      </w:pPr>
      <w:rPr>
        <w:rFonts w:ascii="Arial Narrow" w:hAnsi="Arial Narrow"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38B6515B"/>
    <w:multiLevelType w:val="hybridMultilevel"/>
    <w:tmpl w:val="5658EDE8"/>
    <w:lvl w:ilvl="0" w:tplc="10828E40">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B70892"/>
    <w:multiLevelType w:val="hybridMultilevel"/>
    <w:tmpl w:val="E9B200F8"/>
    <w:lvl w:ilvl="0" w:tplc="D50E14C0">
      <w:start w:val="1"/>
      <w:numFmt w:val="bullet"/>
      <w:lvlText w:val="•"/>
      <w:lvlJc w:val="left"/>
      <w:pPr>
        <w:ind w:left="720" w:hanging="360"/>
      </w:pPr>
      <w:rPr>
        <w:rFonts w:ascii="Arial Narrow" w:hAnsi="Arial Narrow"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2A626EC"/>
    <w:multiLevelType w:val="hybridMultilevel"/>
    <w:tmpl w:val="E4A42D7C"/>
    <w:lvl w:ilvl="0" w:tplc="10828E40">
      <w:start w:val="1"/>
      <w:numFmt w:val="bullet"/>
      <w:lvlText w:val="•"/>
      <w:lvlJc w:val="left"/>
      <w:pPr>
        <w:ind w:left="360" w:hanging="360"/>
      </w:pPr>
      <w:rPr>
        <w:rFonts w:ascii="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8116E2D"/>
    <w:multiLevelType w:val="hybridMultilevel"/>
    <w:tmpl w:val="1AEAE9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4DF03B53"/>
    <w:multiLevelType w:val="multilevel"/>
    <w:tmpl w:val="6E58BFB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24441FA"/>
    <w:multiLevelType w:val="hybridMultilevel"/>
    <w:tmpl w:val="BA921EA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52665292"/>
    <w:multiLevelType w:val="hybridMultilevel"/>
    <w:tmpl w:val="EFD8C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913C94"/>
    <w:multiLevelType w:val="hybridMultilevel"/>
    <w:tmpl w:val="5A1C6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8F08F8"/>
    <w:multiLevelType w:val="hybridMultilevel"/>
    <w:tmpl w:val="82F6B6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24" w15:restartNumberingAfterBreak="0">
    <w:nsid w:val="68012907"/>
    <w:multiLevelType w:val="hybridMultilevel"/>
    <w:tmpl w:val="3678F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897D23"/>
    <w:multiLevelType w:val="hybridMultilevel"/>
    <w:tmpl w:val="05DAC2D8"/>
    <w:lvl w:ilvl="0" w:tplc="10828E40">
      <w:start w:val="1"/>
      <w:numFmt w:val="bullet"/>
      <w:lvlText w:val="•"/>
      <w:lvlJc w:val="left"/>
      <w:pPr>
        <w:ind w:left="360" w:hanging="360"/>
      </w:pPr>
      <w:rPr>
        <w:rFonts w:ascii="Times New Roman" w:hAnsi="Times New Roman" w:cs="Times New Roman"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690C11"/>
    <w:multiLevelType w:val="hybridMultilevel"/>
    <w:tmpl w:val="2886E68C"/>
    <w:lvl w:ilvl="0" w:tplc="10828E40">
      <w:start w:val="1"/>
      <w:numFmt w:val="bullet"/>
      <w:lvlText w:val="•"/>
      <w:lvlJc w:val="left"/>
      <w:pPr>
        <w:ind w:left="360" w:hanging="360"/>
      </w:pPr>
      <w:rPr>
        <w:rFonts w:ascii="Times New Roman"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9"/>
  </w:num>
  <w:num w:numId="4">
    <w:abstractNumId w:val="6"/>
  </w:num>
  <w:num w:numId="5">
    <w:abstractNumId w:val="7"/>
  </w:num>
  <w:num w:numId="6">
    <w:abstractNumId w:val="28"/>
  </w:num>
  <w:num w:numId="7">
    <w:abstractNumId w:val="23"/>
  </w:num>
  <w:num w:numId="8">
    <w:abstractNumId w:val="10"/>
  </w:num>
  <w:num w:numId="9">
    <w:abstractNumId w:val="5"/>
  </w:num>
  <w:num w:numId="10">
    <w:abstractNumId w:val="18"/>
  </w:num>
  <w:num w:numId="11">
    <w:abstractNumId w:val="1"/>
  </w:num>
  <w:num w:numId="12">
    <w:abstractNumId w:val="0"/>
  </w:num>
  <w:num w:numId="13">
    <w:abstractNumId w:val="13"/>
  </w:num>
  <w:num w:numId="14">
    <w:abstractNumId w:val="9"/>
  </w:num>
  <w:num w:numId="15">
    <w:abstractNumId w:val="9"/>
  </w:num>
  <w:num w:numId="16">
    <w:abstractNumId w:val="9"/>
  </w:num>
  <w:num w:numId="17">
    <w:abstractNumId w:val="2"/>
  </w:num>
  <w:num w:numId="18">
    <w:abstractNumId w:val="9"/>
  </w:num>
  <w:num w:numId="19">
    <w:abstractNumId w:val="14"/>
  </w:num>
  <w:num w:numId="20">
    <w:abstractNumId w:val="9"/>
  </w:num>
  <w:num w:numId="21">
    <w:abstractNumId w:val="9"/>
  </w:num>
  <w:num w:numId="22">
    <w:abstractNumId w:val="21"/>
  </w:num>
  <w:num w:numId="23">
    <w:abstractNumId w:val="19"/>
  </w:num>
  <w:num w:numId="24">
    <w:abstractNumId w:val="17"/>
  </w:num>
  <w:num w:numId="25">
    <w:abstractNumId w:val="24"/>
  </w:num>
  <w:num w:numId="26">
    <w:abstractNumId w:val="22"/>
  </w:num>
  <w:num w:numId="27">
    <w:abstractNumId w:val="3"/>
  </w:num>
  <w:num w:numId="28">
    <w:abstractNumId w:val="20"/>
  </w:num>
  <w:num w:numId="29">
    <w:abstractNumId w:val="16"/>
  </w:num>
  <w:num w:numId="30">
    <w:abstractNumId w:val="25"/>
  </w:num>
  <w:num w:numId="31">
    <w:abstractNumId w:val="8"/>
  </w:num>
  <w:num w:numId="32">
    <w:abstractNumId w:val="11"/>
  </w:num>
  <w:num w:numId="33">
    <w:abstractNumId w:val="15"/>
  </w:num>
  <w:num w:numId="34">
    <w:abstractNumId w:val="27"/>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413F"/>
    <w:rsid w:val="000145F2"/>
    <w:rsid w:val="00014653"/>
    <w:rsid w:val="000158FF"/>
    <w:rsid w:val="0001601F"/>
    <w:rsid w:val="00020A6A"/>
    <w:rsid w:val="00020D65"/>
    <w:rsid w:val="00020FA9"/>
    <w:rsid w:val="00022130"/>
    <w:rsid w:val="00022E57"/>
    <w:rsid w:val="00022F51"/>
    <w:rsid w:val="00023FF9"/>
    <w:rsid w:val="000256AE"/>
    <w:rsid w:val="0002576A"/>
    <w:rsid w:val="00026179"/>
    <w:rsid w:val="000263DB"/>
    <w:rsid w:val="0002664B"/>
    <w:rsid w:val="00026A55"/>
    <w:rsid w:val="000272CE"/>
    <w:rsid w:val="000273CB"/>
    <w:rsid w:val="0002743E"/>
    <w:rsid w:val="000313C1"/>
    <w:rsid w:val="000320BB"/>
    <w:rsid w:val="00033514"/>
    <w:rsid w:val="00033A3F"/>
    <w:rsid w:val="00033A9D"/>
    <w:rsid w:val="00033D0E"/>
    <w:rsid w:val="000348CD"/>
    <w:rsid w:val="00034D30"/>
    <w:rsid w:val="000364F6"/>
    <w:rsid w:val="00036BEC"/>
    <w:rsid w:val="0003727E"/>
    <w:rsid w:val="0003757C"/>
    <w:rsid w:val="000411EA"/>
    <w:rsid w:val="00042D81"/>
    <w:rsid w:val="00044344"/>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3AF"/>
    <w:rsid w:val="00067BFD"/>
    <w:rsid w:val="00071E03"/>
    <w:rsid w:val="00072E27"/>
    <w:rsid w:val="000732C5"/>
    <w:rsid w:val="000751B7"/>
    <w:rsid w:val="00075999"/>
    <w:rsid w:val="00076E61"/>
    <w:rsid w:val="00076FD9"/>
    <w:rsid w:val="0008135C"/>
    <w:rsid w:val="0008179E"/>
    <w:rsid w:val="000827E5"/>
    <w:rsid w:val="00083987"/>
    <w:rsid w:val="00083E9F"/>
    <w:rsid w:val="000848BF"/>
    <w:rsid w:val="000859CC"/>
    <w:rsid w:val="00087495"/>
    <w:rsid w:val="00087685"/>
    <w:rsid w:val="00087A69"/>
    <w:rsid w:val="00096BFB"/>
    <w:rsid w:val="000A0020"/>
    <w:rsid w:val="000A640C"/>
    <w:rsid w:val="000A645E"/>
    <w:rsid w:val="000B253F"/>
    <w:rsid w:val="000B27BE"/>
    <w:rsid w:val="000B3CC4"/>
    <w:rsid w:val="000B60D1"/>
    <w:rsid w:val="000C1950"/>
    <w:rsid w:val="000C21A4"/>
    <w:rsid w:val="000C2B86"/>
    <w:rsid w:val="000C575D"/>
    <w:rsid w:val="000C7A34"/>
    <w:rsid w:val="000D0132"/>
    <w:rsid w:val="000D0EC8"/>
    <w:rsid w:val="000D1AB2"/>
    <w:rsid w:val="000D21E2"/>
    <w:rsid w:val="000D27FF"/>
    <w:rsid w:val="000D442F"/>
    <w:rsid w:val="000D5070"/>
    <w:rsid w:val="000D5ED8"/>
    <w:rsid w:val="000E066A"/>
    <w:rsid w:val="000E090C"/>
    <w:rsid w:val="000E5C56"/>
    <w:rsid w:val="000F014D"/>
    <w:rsid w:val="000F124E"/>
    <w:rsid w:val="000F14B3"/>
    <w:rsid w:val="000F3F07"/>
    <w:rsid w:val="000F4474"/>
    <w:rsid w:val="000F6AA2"/>
    <w:rsid w:val="000F799D"/>
    <w:rsid w:val="00102515"/>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DF3"/>
    <w:rsid w:val="00130533"/>
    <w:rsid w:val="001342B1"/>
    <w:rsid w:val="001349F0"/>
    <w:rsid w:val="00135403"/>
    <w:rsid w:val="0013643B"/>
    <w:rsid w:val="001421E2"/>
    <w:rsid w:val="00142EE8"/>
    <w:rsid w:val="0014349B"/>
    <w:rsid w:val="001468F5"/>
    <w:rsid w:val="001502BF"/>
    <w:rsid w:val="00150A01"/>
    <w:rsid w:val="001510B1"/>
    <w:rsid w:val="001510F3"/>
    <w:rsid w:val="00152B56"/>
    <w:rsid w:val="00152C9C"/>
    <w:rsid w:val="001530FB"/>
    <w:rsid w:val="00154AD3"/>
    <w:rsid w:val="00155B75"/>
    <w:rsid w:val="00155F58"/>
    <w:rsid w:val="0015692C"/>
    <w:rsid w:val="00163F49"/>
    <w:rsid w:val="00167DF6"/>
    <w:rsid w:val="001709E7"/>
    <w:rsid w:val="00171318"/>
    <w:rsid w:val="0017303C"/>
    <w:rsid w:val="00173B2D"/>
    <w:rsid w:val="00173C7F"/>
    <w:rsid w:val="001743DD"/>
    <w:rsid w:val="00174634"/>
    <w:rsid w:val="00176D35"/>
    <w:rsid w:val="00177222"/>
    <w:rsid w:val="0017723D"/>
    <w:rsid w:val="00177C60"/>
    <w:rsid w:val="00180665"/>
    <w:rsid w:val="0018156C"/>
    <w:rsid w:val="0018213A"/>
    <w:rsid w:val="001822A4"/>
    <w:rsid w:val="00182F32"/>
    <w:rsid w:val="0018439A"/>
    <w:rsid w:val="00185794"/>
    <w:rsid w:val="00186FC1"/>
    <w:rsid w:val="0018782E"/>
    <w:rsid w:val="00191EA9"/>
    <w:rsid w:val="0019265E"/>
    <w:rsid w:val="00192C75"/>
    <w:rsid w:val="001931CD"/>
    <w:rsid w:val="001A0852"/>
    <w:rsid w:val="001A1531"/>
    <w:rsid w:val="001A1876"/>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D001F"/>
    <w:rsid w:val="001D0F94"/>
    <w:rsid w:val="001D1163"/>
    <w:rsid w:val="001D1807"/>
    <w:rsid w:val="001D6D76"/>
    <w:rsid w:val="001D7EF0"/>
    <w:rsid w:val="001E1C61"/>
    <w:rsid w:val="001E2E90"/>
    <w:rsid w:val="001E3840"/>
    <w:rsid w:val="001E3D07"/>
    <w:rsid w:val="001E4D6B"/>
    <w:rsid w:val="001E6A88"/>
    <w:rsid w:val="001F1C89"/>
    <w:rsid w:val="001F4AA2"/>
    <w:rsid w:val="001F71D7"/>
    <w:rsid w:val="001F748E"/>
    <w:rsid w:val="001F7E93"/>
    <w:rsid w:val="002006DF"/>
    <w:rsid w:val="00201204"/>
    <w:rsid w:val="00201548"/>
    <w:rsid w:val="00204E40"/>
    <w:rsid w:val="00205482"/>
    <w:rsid w:val="00212EE0"/>
    <w:rsid w:val="00213428"/>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55E1F"/>
    <w:rsid w:val="002607D0"/>
    <w:rsid w:val="002616E7"/>
    <w:rsid w:val="0026360C"/>
    <w:rsid w:val="00263B9D"/>
    <w:rsid w:val="00263D2F"/>
    <w:rsid w:val="00264AAF"/>
    <w:rsid w:val="002652BC"/>
    <w:rsid w:val="002665FE"/>
    <w:rsid w:val="00274A87"/>
    <w:rsid w:val="00275FE9"/>
    <w:rsid w:val="00277542"/>
    <w:rsid w:val="00277A7A"/>
    <w:rsid w:val="002801CC"/>
    <w:rsid w:val="00281DDA"/>
    <w:rsid w:val="002821AD"/>
    <w:rsid w:val="00282C4A"/>
    <w:rsid w:val="00283A67"/>
    <w:rsid w:val="00284F89"/>
    <w:rsid w:val="00287BA8"/>
    <w:rsid w:val="002909E1"/>
    <w:rsid w:val="00291A19"/>
    <w:rsid w:val="002934A2"/>
    <w:rsid w:val="00296217"/>
    <w:rsid w:val="002A0351"/>
    <w:rsid w:val="002A03C4"/>
    <w:rsid w:val="002A13C3"/>
    <w:rsid w:val="002A29C8"/>
    <w:rsid w:val="002A341B"/>
    <w:rsid w:val="002A432E"/>
    <w:rsid w:val="002A6220"/>
    <w:rsid w:val="002A66D7"/>
    <w:rsid w:val="002B06BE"/>
    <w:rsid w:val="002B18D7"/>
    <w:rsid w:val="002B1B94"/>
    <w:rsid w:val="002B32A7"/>
    <w:rsid w:val="002B3967"/>
    <w:rsid w:val="002B3A4E"/>
    <w:rsid w:val="002B59D6"/>
    <w:rsid w:val="002B6A92"/>
    <w:rsid w:val="002C4A90"/>
    <w:rsid w:val="002C6437"/>
    <w:rsid w:val="002C65B7"/>
    <w:rsid w:val="002C76A7"/>
    <w:rsid w:val="002D0CF4"/>
    <w:rsid w:val="002D0D41"/>
    <w:rsid w:val="002D0F73"/>
    <w:rsid w:val="002D2B5C"/>
    <w:rsid w:val="002D3A55"/>
    <w:rsid w:val="002D4B9C"/>
    <w:rsid w:val="002D5767"/>
    <w:rsid w:val="002E31E3"/>
    <w:rsid w:val="002E4B53"/>
    <w:rsid w:val="002E511C"/>
    <w:rsid w:val="002E580D"/>
    <w:rsid w:val="002E7825"/>
    <w:rsid w:val="002F14E5"/>
    <w:rsid w:val="002F29AB"/>
    <w:rsid w:val="002F2F7D"/>
    <w:rsid w:val="002F4304"/>
    <w:rsid w:val="002F4DCE"/>
    <w:rsid w:val="002F7132"/>
    <w:rsid w:val="002F7AF3"/>
    <w:rsid w:val="002F7D01"/>
    <w:rsid w:val="00301DE6"/>
    <w:rsid w:val="0030216D"/>
    <w:rsid w:val="00302216"/>
    <w:rsid w:val="00304F9E"/>
    <w:rsid w:val="00306DB4"/>
    <w:rsid w:val="00310DA8"/>
    <w:rsid w:val="00312247"/>
    <w:rsid w:val="003127C1"/>
    <w:rsid w:val="00315E84"/>
    <w:rsid w:val="00317392"/>
    <w:rsid w:val="00323EC5"/>
    <w:rsid w:val="003247F7"/>
    <w:rsid w:val="00324927"/>
    <w:rsid w:val="00324ED4"/>
    <w:rsid w:val="00324F81"/>
    <w:rsid w:val="00330861"/>
    <w:rsid w:val="00331970"/>
    <w:rsid w:val="003325A9"/>
    <w:rsid w:val="00332FF3"/>
    <w:rsid w:val="003359CA"/>
    <w:rsid w:val="00335A8D"/>
    <w:rsid w:val="00336DC7"/>
    <w:rsid w:val="00337F84"/>
    <w:rsid w:val="00340952"/>
    <w:rsid w:val="003410FE"/>
    <w:rsid w:val="00342960"/>
    <w:rsid w:val="003434D8"/>
    <w:rsid w:val="0034428A"/>
    <w:rsid w:val="003445C6"/>
    <w:rsid w:val="00346102"/>
    <w:rsid w:val="00350838"/>
    <w:rsid w:val="003535A2"/>
    <w:rsid w:val="003552FC"/>
    <w:rsid w:val="0035672D"/>
    <w:rsid w:val="00357899"/>
    <w:rsid w:val="00361437"/>
    <w:rsid w:val="00362B86"/>
    <w:rsid w:val="003644A3"/>
    <w:rsid w:val="0036669C"/>
    <w:rsid w:val="00366D8A"/>
    <w:rsid w:val="00367020"/>
    <w:rsid w:val="0036798B"/>
    <w:rsid w:val="003704D4"/>
    <w:rsid w:val="00370C3D"/>
    <w:rsid w:val="00372B61"/>
    <w:rsid w:val="00372C94"/>
    <w:rsid w:val="00376C7C"/>
    <w:rsid w:val="003802B3"/>
    <w:rsid w:val="00381EB7"/>
    <w:rsid w:val="00382B08"/>
    <w:rsid w:val="003830E5"/>
    <w:rsid w:val="00384F77"/>
    <w:rsid w:val="00387399"/>
    <w:rsid w:val="00390914"/>
    <w:rsid w:val="00390C91"/>
    <w:rsid w:val="00392558"/>
    <w:rsid w:val="003933C3"/>
    <w:rsid w:val="003933F3"/>
    <w:rsid w:val="003934B5"/>
    <w:rsid w:val="003939A7"/>
    <w:rsid w:val="00394D04"/>
    <w:rsid w:val="00395147"/>
    <w:rsid w:val="00396D0A"/>
    <w:rsid w:val="003976A4"/>
    <w:rsid w:val="003A3187"/>
    <w:rsid w:val="003A31A0"/>
    <w:rsid w:val="003A3C56"/>
    <w:rsid w:val="003A3E3C"/>
    <w:rsid w:val="003A5848"/>
    <w:rsid w:val="003A5D3D"/>
    <w:rsid w:val="003A6826"/>
    <w:rsid w:val="003A795E"/>
    <w:rsid w:val="003B18C3"/>
    <w:rsid w:val="003B3694"/>
    <w:rsid w:val="003B4A1B"/>
    <w:rsid w:val="003B595F"/>
    <w:rsid w:val="003B6710"/>
    <w:rsid w:val="003C08AF"/>
    <w:rsid w:val="003C13F8"/>
    <w:rsid w:val="003C1695"/>
    <w:rsid w:val="003C4385"/>
    <w:rsid w:val="003C50F0"/>
    <w:rsid w:val="003C66AB"/>
    <w:rsid w:val="003C72DA"/>
    <w:rsid w:val="003D137C"/>
    <w:rsid w:val="003D2E87"/>
    <w:rsid w:val="003D305A"/>
    <w:rsid w:val="003D4026"/>
    <w:rsid w:val="003D40C4"/>
    <w:rsid w:val="003D41CB"/>
    <w:rsid w:val="003D5EBB"/>
    <w:rsid w:val="003D747C"/>
    <w:rsid w:val="003D7674"/>
    <w:rsid w:val="003D7F01"/>
    <w:rsid w:val="003E0BE1"/>
    <w:rsid w:val="003E0D94"/>
    <w:rsid w:val="003E25FD"/>
    <w:rsid w:val="003E2A20"/>
    <w:rsid w:val="003E3690"/>
    <w:rsid w:val="003E4FA9"/>
    <w:rsid w:val="003E63B2"/>
    <w:rsid w:val="003E6562"/>
    <w:rsid w:val="003E7AC1"/>
    <w:rsid w:val="003F2A6A"/>
    <w:rsid w:val="003F3377"/>
    <w:rsid w:val="003F4EBD"/>
    <w:rsid w:val="003F6682"/>
    <w:rsid w:val="003F7A7D"/>
    <w:rsid w:val="00400962"/>
    <w:rsid w:val="0040280C"/>
    <w:rsid w:val="00403DFA"/>
    <w:rsid w:val="0040622F"/>
    <w:rsid w:val="0040727A"/>
    <w:rsid w:val="00412287"/>
    <w:rsid w:val="004135E2"/>
    <w:rsid w:val="0041365F"/>
    <w:rsid w:val="004137B0"/>
    <w:rsid w:val="00417EB0"/>
    <w:rsid w:val="00421396"/>
    <w:rsid w:val="0042487D"/>
    <w:rsid w:val="00424B32"/>
    <w:rsid w:val="0042584B"/>
    <w:rsid w:val="00431586"/>
    <w:rsid w:val="00437B07"/>
    <w:rsid w:val="004402C4"/>
    <w:rsid w:val="004426EF"/>
    <w:rsid w:val="00454ED8"/>
    <w:rsid w:val="00454FC8"/>
    <w:rsid w:val="00455411"/>
    <w:rsid w:val="004629CB"/>
    <w:rsid w:val="004663AE"/>
    <w:rsid w:val="00466601"/>
    <w:rsid w:val="00467178"/>
    <w:rsid w:val="00470B57"/>
    <w:rsid w:val="00472AC0"/>
    <w:rsid w:val="00476A3A"/>
    <w:rsid w:val="00477751"/>
    <w:rsid w:val="0048009C"/>
    <w:rsid w:val="004801DA"/>
    <w:rsid w:val="004802F5"/>
    <w:rsid w:val="00480A37"/>
    <w:rsid w:val="00480B98"/>
    <w:rsid w:val="00481362"/>
    <w:rsid w:val="004815FF"/>
    <w:rsid w:val="00481CDE"/>
    <w:rsid w:val="00482A17"/>
    <w:rsid w:val="00483D45"/>
    <w:rsid w:val="0048650C"/>
    <w:rsid w:val="00486657"/>
    <w:rsid w:val="00486E13"/>
    <w:rsid w:val="004913CF"/>
    <w:rsid w:val="004915BF"/>
    <w:rsid w:val="004921E9"/>
    <w:rsid w:val="00492DE9"/>
    <w:rsid w:val="00497A27"/>
    <w:rsid w:val="004A3C54"/>
    <w:rsid w:val="004B2362"/>
    <w:rsid w:val="004B38B7"/>
    <w:rsid w:val="004B543F"/>
    <w:rsid w:val="004B68B6"/>
    <w:rsid w:val="004B7746"/>
    <w:rsid w:val="004C0B9A"/>
    <w:rsid w:val="004C2DE8"/>
    <w:rsid w:val="004C395B"/>
    <w:rsid w:val="004C3D7D"/>
    <w:rsid w:val="004C59AB"/>
    <w:rsid w:val="004C5FD9"/>
    <w:rsid w:val="004C664B"/>
    <w:rsid w:val="004D01A2"/>
    <w:rsid w:val="004D28DF"/>
    <w:rsid w:val="004D4290"/>
    <w:rsid w:val="004D6953"/>
    <w:rsid w:val="004D753D"/>
    <w:rsid w:val="004D79BD"/>
    <w:rsid w:val="004D7E4D"/>
    <w:rsid w:val="004E578C"/>
    <w:rsid w:val="004E5C50"/>
    <w:rsid w:val="004E6B10"/>
    <w:rsid w:val="004F125B"/>
    <w:rsid w:val="004F20F6"/>
    <w:rsid w:val="004F6035"/>
    <w:rsid w:val="005004A9"/>
    <w:rsid w:val="005021FC"/>
    <w:rsid w:val="00503A52"/>
    <w:rsid w:val="00504C03"/>
    <w:rsid w:val="005073DF"/>
    <w:rsid w:val="00507951"/>
    <w:rsid w:val="00507F0D"/>
    <w:rsid w:val="00510199"/>
    <w:rsid w:val="00510775"/>
    <w:rsid w:val="00510D6E"/>
    <w:rsid w:val="005156C5"/>
    <w:rsid w:val="00517147"/>
    <w:rsid w:val="00520C17"/>
    <w:rsid w:val="00520DED"/>
    <w:rsid w:val="00520EBD"/>
    <w:rsid w:val="005235A5"/>
    <w:rsid w:val="0052460C"/>
    <w:rsid w:val="00525554"/>
    <w:rsid w:val="0052645D"/>
    <w:rsid w:val="00526D0C"/>
    <w:rsid w:val="00527164"/>
    <w:rsid w:val="00527464"/>
    <w:rsid w:val="0053116E"/>
    <w:rsid w:val="00532B5D"/>
    <w:rsid w:val="00532C59"/>
    <w:rsid w:val="00533B5F"/>
    <w:rsid w:val="00534168"/>
    <w:rsid w:val="00535006"/>
    <w:rsid w:val="00535645"/>
    <w:rsid w:val="0053761B"/>
    <w:rsid w:val="00540FF1"/>
    <w:rsid w:val="00544401"/>
    <w:rsid w:val="00545EE7"/>
    <w:rsid w:val="00546DE3"/>
    <w:rsid w:val="0054713C"/>
    <w:rsid w:val="00547350"/>
    <w:rsid w:val="00550115"/>
    <w:rsid w:val="005503B0"/>
    <w:rsid w:val="005504C3"/>
    <w:rsid w:val="00551EAA"/>
    <w:rsid w:val="0055285F"/>
    <w:rsid w:val="00553021"/>
    <w:rsid w:val="0055397C"/>
    <w:rsid w:val="005540F3"/>
    <w:rsid w:val="00554939"/>
    <w:rsid w:val="00555288"/>
    <w:rsid w:val="00556416"/>
    <w:rsid w:val="00561B4F"/>
    <w:rsid w:val="00561E89"/>
    <w:rsid w:val="00564222"/>
    <w:rsid w:val="005674E9"/>
    <w:rsid w:val="00567A84"/>
    <w:rsid w:val="00567AC7"/>
    <w:rsid w:val="005729E9"/>
    <w:rsid w:val="00577619"/>
    <w:rsid w:val="00581504"/>
    <w:rsid w:val="00581AAC"/>
    <w:rsid w:val="005825A8"/>
    <w:rsid w:val="0058346D"/>
    <w:rsid w:val="0058617A"/>
    <w:rsid w:val="0059276A"/>
    <w:rsid w:val="0059701C"/>
    <w:rsid w:val="005A26DD"/>
    <w:rsid w:val="005A2709"/>
    <w:rsid w:val="005A30B6"/>
    <w:rsid w:val="005A65AD"/>
    <w:rsid w:val="005A6869"/>
    <w:rsid w:val="005A72B7"/>
    <w:rsid w:val="005B0732"/>
    <w:rsid w:val="005B0859"/>
    <w:rsid w:val="005B1802"/>
    <w:rsid w:val="005B24E3"/>
    <w:rsid w:val="005B39F3"/>
    <w:rsid w:val="005B58A9"/>
    <w:rsid w:val="005B5C8D"/>
    <w:rsid w:val="005C0341"/>
    <w:rsid w:val="005C1527"/>
    <w:rsid w:val="005C4208"/>
    <w:rsid w:val="005C6166"/>
    <w:rsid w:val="005C64BD"/>
    <w:rsid w:val="005C73B4"/>
    <w:rsid w:val="005D06EE"/>
    <w:rsid w:val="005D4244"/>
    <w:rsid w:val="005D4D2D"/>
    <w:rsid w:val="005D4EF4"/>
    <w:rsid w:val="005D69C5"/>
    <w:rsid w:val="005D7F5E"/>
    <w:rsid w:val="005E1EF7"/>
    <w:rsid w:val="005E3238"/>
    <w:rsid w:val="005E3D9C"/>
    <w:rsid w:val="005E4A3C"/>
    <w:rsid w:val="005E647C"/>
    <w:rsid w:val="005F13B8"/>
    <w:rsid w:val="005F2904"/>
    <w:rsid w:val="005F3F55"/>
    <w:rsid w:val="005F47F9"/>
    <w:rsid w:val="005F5E25"/>
    <w:rsid w:val="005F6CF5"/>
    <w:rsid w:val="00601AEA"/>
    <w:rsid w:val="00601AFD"/>
    <w:rsid w:val="006051A3"/>
    <w:rsid w:val="0060671A"/>
    <w:rsid w:val="006067E8"/>
    <w:rsid w:val="00606D94"/>
    <w:rsid w:val="006107EB"/>
    <w:rsid w:val="006108C4"/>
    <w:rsid w:val="006111FD"/>
    <w:rsid w:val="00611942"/>
    <w:rsid w:val="00611BE7"/>
    <w:rsid w:val="00616037"/>
    <w:rsid w:val="0061631E"/>
    <w:rsid w:val="00616B6D"/>
    <w:rsid w:val="00620DDA"/>
    <w:rsid w:val="00622CC1"/>
    <w:rsid w:val="0062329F"/>
    <w:rsid w:val="00624D87"/>
    <w:rsid w:val="00625DD6"/>
    <w:rsid w:val="00627C95"/>
    <w:rsid w:val="00630435"/>
    <w:rsid w:val="006327CE"/>
    <w:rsid w:val="00632BCA"/>
    <w:rsid w:val="00633AE7"/>
    <w:rsid w:val="006346E8"/>
    <w:rsid w:val="00634C6F"/>
    <w:rsid w:val="0063513F"/>
    <w:rsid w:val="00640F41"/>
    <w:rsid w:val="00641222"/>
    <w:rsid w:val="00641A85"/>
    <w:rsid w:val="00642C3E"/>
    <w:rsid w:val="00644635"/>
    <w:rsid w:val="006453A3"/>
    <w:rsid w:val="00645405"/>
    <w:rsid w:val="006458AC"/>
    <w:rsid w:val="00646C61"/>
    <w:rsid w:val="00646FB0"/>
    <w:rsid w:val="006552BE"/>
    <w:rsid w:val="00657057"/>
    <w:rsid w:val="00660C1E"/>
    <w:rsid w:val="00661244"/>
    <w:rsid w:val="00663FB1"/>
    <w:rsid w:val="0066527B"/>
    <w:rsid w:val="0066593A"/>
    <w:rsid w:val="0066615A"/>
    <w:rsid w:val="0066626D"/>
    <w:rsid w:val="00667AFB"/>
    <w:rsid w:val="00670F9A"/>
    <w:rsid w:val="00671451"/>
    <w:rsid w:val="00674843"/>
    <w:rsid w:val="00674EFE"/>
    <w:rsid w:val="0067572F"/>
    <w:rsid w:val="00675AFC"/>
    <w:rsid w:val="00676B6B"/>
    <w:rsid w:val="006838CD"/>
    <w:rsid w:val="00684276"/>
    <w:rsid w:val="00684F66"/>
    <w:rsid w:val="0068751E"/>
    <w:rsid w:val="00687C47"/>
    <w:rsid w:val="006929E5"/>
    <w:rsid w:val="00694D1F"/>
    <w:rsid w:val="00695F50"/>
    <w:rsid w:val="006971C5"/>
    <w:rsid w:val="00697D24"/>
    <w:rsid w:val="006A000D"/>
    <w:rsid w:val="006A00EE"/>
    <w:rsid w:val="006A2994"/>
    <w:rsid w:val="006A2FB4"/>
    <w:rsid w:val="006A3153"/>
    <w:rsid w:val="006A365D"/>
    <w:rsid w:val="006A3795"/>
    <w:rsid w:val="006A45B2"/>
    <w:rsid w:val="006A4AB0"/>
    <w:rsid w:val="006A4F5E"/>
    <w:rsid w:val="006A5FB5"/>
    <w:rsid w:val="006A6A0E"/>
    <w:rsid w:val="006A79BC"/>
    <w:rsid w:val="006A7DC4"/>
    <w:rsid w:val="006B0DD6"/>
    <w:rsid w:val="006B1C27"/>
    <w:rsid w:val="006B2DF9"/>
    <w:rsid w:val="006B3A05"/>
    <w:rsid w:val="006B3F78"/>
    <w:rsid w:val="006B538A"/>
    <w:rsid w:val="006B59BA"/>
    <w:rsid w:val="006C03CB"/>
    <w:rsid w:val="006C1951"/>
    <w:rsid w:val="006C2C8F"/>
    <w:rsid w:val="006C3A0D"/>
    <w:rsid w:val="006C7727"/>
    <w:rsid w:val="006C7911"/>
    <w:rsid w:val="006D0887"/>
    <w:rsid w:val="006D2100"/>
    <w:rsid w:val="006D22D3"/>
    <w:rsid w:val="006D39A0"/>
    <w:rsid w:val="006D5543"/>
    <w:rsid w:val="006D6FA8"/>
    <w:rsid w:val="006D71DE"/>
    <w:rsid w:val="006D77AA"/>
    <w:rsid w:val="006E05BD"/>
    <w:rsid w:val="006E1733"/>
    <w:rsid w:val="006E1B2C"/>
    <w:rsid w:val="006E3961"/>
    <w:rsid w:val="006E3E16"/>
    <w:rsid w:val="006E4C3A"/>
    <w:rsid w:val="006E644B"/>
    <w:rsid w:val="006E6704"/>
    <w:rsid w:val="006E6768"/>
    <w:rsid w:val="006E6CFE"/>
    <w:rsid w:val="006F45AD"/>
    <w:rsid w:val="006F5672"/>
    <w:rsid w:val="006F656B"/>
    <w:rsid w:val="00700C48"/>
    <w:rsid w:val="007042E3"/>
    <w:rsid w:val="00706166"/>
    <w:rsid w:val="0071056F"/>
    <w:rsid w:val="00710B41"/>
    <w:rsid w:val="007124F5"/>
    <w:rsid w:val="0071266D"/>
    <w:rsid w:val="00713A8B"/>
    <w:rsid w:val="00714183"/>
    <w:rsid w:val="007142F3"/>
    <w:rsid w:val="00715F3C"/>
    <w:rsid w:val="0071652D"/>
    <w:rsid w:val="007178C1"/>
    <w:rsid w:val="007218C0"/>
    <w:rsid w:val="007221C9"/>
    <w:rsid w:val="00722794"/>
    <w:rsid w:val="00723320"/>
    <w:rsid w:val="00724198"/>
    <w:rsid w:val="00724439"/>
    <w:rsid w:val="00725384"/>
    <w:rsid w:val="00727CDE"/>
    <w:rsid w:val="00730B36"/>
    <w:rsid w:val="0073101E"/>
    <w:rsid w:val="00732A4A"/>
    <w:rsid w:val="00733F26"/>
    <w:rsid w:val="00735F0A"/>
    <w:rsid w:val="0073761B"/>
    <w:rsid w:val="00742086"/>
    <w:rsid w:val="0074294F"/>
    <w:rsid w:val="0074335F"/>
    <w:rsid w:val="0074498B"/>
    <w:rsid w:val="00746EFF"/>
    <w:rsid w:val="00747FE5"/>
    <w:rsid w:val="00750308"/>
    <w:rsid w:val="00750B81"/>
    <w:rsid w:val="007516CA"/>
    <w:rsid w:val="00752DAA"/>
    <w:rsid w:val="00752FF5"/>
    <w:rsid w:val="00754771"/>
    <w:rsid w:val="00754D40"/>
    <w:rsid w:val="00757170"/>
    <w:rsid w:val="007603E2"/>
    <w:rsid w:val="0076053A"/>
    <w:rsid w:val="00761B4F"/>
    <w:rsid w:val="00764BA3"/>
    <w:rsid w:val="00765647"/>
    <w:rsid w:val="00766824"/>
    <w:rsid w:val="007673C1"/>
    <w:rsid w:val="00770950"/>
    <w:rsid w:val="007723F3"/>
    <w:rsid w:val="007725E4"/>
    <w:rsid w:val="007752F7"/>
    <w:rsid w:val="007803A7"/>
    <w:rsid w:val="00780D56"/>
    <w:rsid w:val="007815E0"/>
    <w:rsid w:val="007822B9"/>
    <w:rsid w:val="00782CB7"/>
    <w:rsid w:val="00782F13"/>
    <w:rsid w:val="00785C00"/>
    <w:rsid w:val="00787489"/>
    <w:rsid w:val="0078763D"/>
    <w:rsid w:val="00790E4D"/>
    <w:rsid w:val="007910D4"/>
    <w:rsid w:val="00791EC0"/>
    <w:rsid w:val="00796FBA"/>
    <w:rsid w:val="00797E16"/>
    <w:rsid w:val="007A24ED"/>
    <w:rsid w:val="007A270E"/>
    <w:rsid w:val="007A3553"/>
    <w:rsid w:val="007A3ACA"/>
    <w:rsid w:val="007A432D"/>
    <w:rsid w:val="007A5023"/>
    <w:rsid w:val="007A6309"/>
    <w:rsid w:val="007A7100"/>
    <w:rsid w:val="007A7D3D"/>
    <w:rsid w:val="007A7DE7"/>
    <w:rsid w:val="007B0259"/>
    <w:rsid w:val="007B050A"/>
    <w:rsid w:val="007B1231"/>
    <w:rsid w:val="007B354F"/>
    <w:rsid w:val="007B3A6E"/>
    <w:rsid w:val="007B3BE4"/>
    <w:rsid w:val="007B5C31"/>
    <w:rsid w:val="007B6658"/>
    <w:rsid w:val="007B7B36"/>
    <w:rsid w:val="007C2823"/>
    <w:rsid w:val="007C427A"/>
    <w:rsid w:val="007C5508"/>
    <w:rsid w:val="007C63F4"/>
    <w:rsid w:val="007C6BC6"/>
    <w:rsid w:val="007C78EA"/>
    <w:rsid w:val="007D0B56"/>
    <w:rsid w:val="007D0F83"/>
    <w:rsid w:val="007D1167"/>
    <w:rsid w:val="007D12D6"/>
    <w:rsid w:val="007D1973"/>
    <w:rsid w:val="007D1DAD"/>
    <w:rsid w:val="007D21DB"/>
    <w:rsid w:val="007D3AE1"/>
    <w:rsid w:val="007D52BF"/>
    <w:rsid w:val="007E39B9"/>
    <w:rsid w:val="007E4923"/>
    <w:rsid w:val="007E67ED"/>
    <w:rsid w:val="007F61FF"/>
    <w:rsid w:val="007F652E"/>
    <w:rsid w:val="008007E2"/>
    <w:rsid w:val="00800958"/>
    <w:rsid w:val="00800D3A"/>
    <w:rsid w:val="00803C49"/>
    <w:rsid w:val="008052AE"/>
    <w:rsid w:val="0080798D"/>
    <w:rsid w:val="00807F09"/>
    <w:rsid w:val="00810C53"/>
    <w:rsid w:val="00811386"/>
    <w:rsid w:val="00812DF5"/>
    <w:rsid w:val="0081438B"/>
    <w:rsid w:val="00815041"/>
    <w:rsid w:val="00815C44"/>
    <w:rsid w:val="00817B38"/>
    <w:rsid w:val="00821A13"/>
    <w:rsid w:val="00821B4A"/>
    <w:rsid w:val="008220BA"/>
    <w:rsid w:val="00823F0D"/>
    <w:rsid w:val="0082537F"/>
    <w:rsid w:val="00825A95"/>
    <w:rsid w:val="0083441B"/>
    <w:rsid w:val="00840B1D"/>
    <w:rsid w:val="00841521"/>
    <w:rsid w:val="0084376E"/>
    <w:rsid w:val="00846C2F"/>
    <w:rsid w:val="00847256"/>
    <w:rsid w:val="00852313"/>
    <w:rsid w:val="00852D88"/>
    <w:rsid w:val="008542D3"/>
    <w:rsid w:val="00855CE7"/>
    <w:rsid w:val="0085675B"/>
    <w:rsid w:val="00856D1D"/>
    <w:rsid w:val="008629B5"/>
    <w:rsid w:val="008634F0"/>
    <w:rsid w:val="00863F05"/>
    <w:rsid w:val="00864F94"/>
    <w:rsid w:val="00864FD5"/>
    <w:rsid w:val="00871937"/>
    <w:rsid w:val="00872FD6"/>
    <w:rsid w:val="0087382D"/>
    <w:rsid w:val="00875986"/>
    <w:rsid w:val="00876D02"/>
    <w:rsid w:val="00876EF1"/>
    <w:rsid w:val="00881118"/>
    <w:rsid w:val="00885155"/>
    <w:rsid w:val="00887DAF"/>
    <w:rsid w:val="00891027"/>
    <w:rsid w:val="00891A14"/>
    <w:rsid w:val="0089344F"/>
    <w:rsid w:val="0089640E"/>
    <w:rsid w:val="00896E9B"/>
    <w:rsid w:val="008A0EAF"/>
    <w:rsid w:val="008A1371"/>
    <w:rsid w:val="008A2347"/>
    <w:rsid w:val="008A25D7"/>
    <w:rsid w:val="008A2C02"/>
    <w:rsid w:val="008A2DF0"/>
    <w:rsid w:val="008A7157"/>
    <w:rsid w:val="008B0E9B"/>
    <w:rsid w:val="008B5274"/>
    <w:rsid w:val="008C50ED"/>
    <w:rsid w:val="008C6088"/>
    <w:rsid w:val="008D0322"/>
    <w:rsid w:val="008D1C9C"/>
    <w:rsid w:val="008D42CE"/>
    <w:rsid w:val="008D4640"/>
    <w:rsid w:val="008D4C4C"/>
    <w:rsid w:val="008D4F85"/>
    <w:rsid w:val="008D7479"/>
    <w:rsid w:val="008D7ED6"/>
    <w:rsid w:val="008E0D44"/>
    <w:rsid w:val="008E1B94"/>
    <w:rsid w:val="008E1D99"/>
    <w:rsid w:val="008E3729"/>
    <w:rsid w:val="008E4151"/>
    <w:rsid w:val="008E421B"/>
    <w:rsid w:val="008E4A61"/>
    <w:rsid w:val="008E55F0"/>
    <w:rsid w:val="008E64D9"/>
    <w:rsid w:val="008E748A"/>
    <w:rsid w:val="008F0C52"/>
    <w:rsid w:val="008F21A5"/>
    <w:rsid w:val="008F2D1D"/>
    <w:rsid w:val="008F2E94"/>
    <w:rsid w:val="008F5BA5"/>
    <w:rsid w:val="008F628C"/>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0DDC"/>
    <w:rsid w:val="00911B16"/>
    <w:rsid w:val="00914285"/>
    <w:rsid w:val="009147F1"/>
    <w:rsid w:val="00914E37"/>
    <w:rsid w:val="009173B4"/>
    <w:rsid w:val="009212B8"/>
    <w:rsid w:val="00921A95"/>
    <w:rsid w:val="009248E8"/>
    <w:rsid w:val="00924CCC"/>
    <w:rsid w:val="00925571"/>
    <w:rsid w:val="0092668C"/>
    <w:rsid w:val="009274BF"/>
    <w:rsid w:val="00931D43"/>
    <w:rsid w:val="0093251C"/>
    <w:rsid w:val="0093389A"/>
    <w:rsid w:val="0093407D"/>
    <w:rsid w:val="00934FA8"/>
    <w:rsid w:val="009357DA"/>
    <w:rsid w:val="009374D5"/>
    <w:rsid w:val="00940699"/>
    <w:rsid w:val="00940E4F"/>
    <w:rsid w:val="00941292"/>
    <w:rsid w:val="009415A1"/>
    <w:rsid w:val="00944E90"/>
    <w:rsid w:val="00946BE5"/>
    <w:rsid w:val="00947348"/>
    <w:rsid w:val="009475D0"/>
    <w:rsid w:val="009514B1"/>
    <w:rsid w:val="0095151B"/>
    <w:rsid w:val="00951526"/>
    <w:rsid w:val="00956BBE"/>
    <w:rsid w:val="009601B8"/>
    <w:rsid w:val="009603EA"/>
    <w:rsid w:val="00961198"/>
    <w:rsid w:val="00961D89"/>
    <w:rsid w:val="00962F80"/>
    <w:rsid w:val="00962F99"/>
    <w:rsid w:val="00962FBE"/>
    <w:rsid w:val="009659C3"/>
    <w:rsid w:val="00965A6F"/>
    <w:rsid w:val="009666FC"/>
    <w:rsid w:val="00970A02"/>
    <w:rsid w:val="009715ED"/>
    <w:rsid w:val="00972079"/>
    <w:rsid w:val="009727B2"/>
    <w:rsid w:val="009738B5"/>
    <w:rsid w:val="00974F4B"/>
    <w:rsid w:val="0097645C"/>
    <w:rsid w:val="009774DD"/>
    <w:rsid w:val="0098016F"/>
    <w:rsid w:val="009806D3"/>
    <w:rsid w:val="00981FCB"/>
    <w:rsid w:val="00986469"/>
    <w:rsid w:val="00990B3B"/>
    <w:rsid w:val="00990D01"/>
    <w:rsid w:val="00990E9A"/>
    <w:rsid w:val="0099366C"/>
    <w:rsid w:val="00993DB8"/>
    <w:rsid w:val="00994CF5"/>
    <w:rsid w:val="00996B78"/>
    <w:rsid w:val="009A01C4"/>
    <w:rsid w:val="009A3554"/>
    <w:rsid w:val="009A3591"/>
    <w:rsid w:val="009A3617"/>
    <w:rsid w:val="009A3C0D"/>
    <w:rsid w:val="009A46E6"/>
    <w:rsid w:val="009A5C36"/>
    <w:rsid w:val="009B00F2"/>
    <w:rsid w:val="009B1A45"/>
    <w:rsid w:val="009B2CFF"/>
    <w:rsid w:val="009B475A"/>
    <w:rsid w:val="009B5C7E"/>
    <w:rsid w:val="009C201A"/>
    <w:rsid w:val="009C2D7D"/>
    <w:rsid w:val="009C36B7"/>
    <w:rsid w:val="009C74AF"/>
    <w:rsid w:val="009D0601"/>
    <w:rsid w:val="009D1BE3"/>
    <w:rsid w:val="009D551D"/>
    <w:rsid w:val="009D6D43"/>
    <w:rsid w:val="009E2025"/>
    <w:rsid w:val="009E2A19"/>
    <w:rsid w:val="009E3B97"/>
    <w:rsid w:val="009E4509"/>
    <w:rsid w:val="009E52F3"/>
    <w:rsid w:val="009E69E2"/>
    <w:rsid w:val="009E6E08"/>
    <w:rsid w:val="009F036D"/>
    <w:rsid w:val="009F0567"/>
    <w:rsid w:val="009F0FEA"/>
    <w:rsid w:val="009F36C6"/>
    <w:rsid w:val="009F42B5"/>
    <w:rsid w:val="009F5F89"/>
    <w:rsid w:val="00A0650B"/>
    <w:rsid w:val="00A1188B"/>
    <w:rsid w:val="00A152A0"/>
    <w:rsid w:val="00A17099"/>
    <w:rsid w:val="00A1783F"/>
    <w:rsid w:val="00A21B45"/>
    <w:rsid w:val="00A22E09"/>
    <w:rsid w:val="00A2374B"/>
    <w:rsid w:val="00A238D7"/>
    <w:rsid w:val="00A24F78"/>
    <w:rsid w:val="00A254A4"/>
    <w:rsid w:val="00A256AF"/>
    <w:rsid w:val="00A31F8F"/>
    <w:rsid w:val="00A3271B"/>
    <w:rsid w:val="00A32A1A"/>
    <w:rsid w:val="00A3334A"/>
    <w:rsid w:val="00A34A89"/>
    <w:rsid w:val="00A35162"/>
    <w:rsid w:val="00A36473"/>
    <w:rsid w:val="00A365A6"/>
    <w:rsid w:val="00A37D41"/>
    <w:rsid w:val="00A4159C"/>
    <w:rsid w:val="00A41FAE"/>
    <w:rsid w:val="00A43E0C"/>
    <w:rsid w:val="00A452F2"/>
    <w:rsid w:val="00A461C0"/>
    <w:rsid w:val="00A47B9B"/>
    <w:rsid w:val="00A5027B"/>
    <w:rsid w:val="00A54685"/>
    <w:rsid w:val="00A56A3F"/>
    <w:rsid w:val="00A57DF4"/>
    <w:rsid w:val="00A60A02"/>
    <w:rsid w:val="00A64842"/>
    <w:rsid w:val="00A649AF"/>
    <w:rsid w:val="00A6562D"/>
    <w:rsid w:val="00A71B6A"/>
    <w:rsid w:val="00A73401"/>
    <w:rsid w:val="00A74192"/>
    <w:rsid w:val="00A765F9"/>
    <w:rsid w:val="00A77520"/>
    <w:rsid w:val="00A806CE"/>
    <w:rsid w:val="00A8090F"/>
    <w:rsid w:val="00A80A18"/>
    <w:rsid w:val="00A81E52"/>
    <w:rsid w:val="00A82725"/>
    <w:rsid w:val="00A82C6F"/>
    <w:rsid w:val="00A839B1"/>
    <w:rsid w:val="00A83A70"/>
    <w:rsid w:val="00A84AFD"/>
    <w:rsid w:val="00A85BCE"/>
    <w:rsid w:val="00A862C1"/>
    <w:rsid w:val="00A9100A"/>
    <w:rsid w:val="00A911FB"/>
    <w:rsid w:val="00A92D5C"/>
    <w:rsid w:val="00A93423"/>
    <w:rsid w:val="00A93870"/>
    <w:rsid w:val="00A94904"/>
    <w:rsid w:val="00A949D9"/>
    <w:rsid w:val="00A97D80"/>
    <w:rsid w:val="00AA5103"/>
    <w:rsid w:val="00AA5B3C"/>
    <w:rsid w:val="00AA5E86"/>
    <w:rsid w:val="00AA71F7"/>
    <w:rsid w:val="00AB0105"/>
    <w:rsid w:val="00AB080B"/>
    <w:rsid w:val="00AB0C48"/>
    <w:rsid w:val="00AB166B"/>
    <w:rsid w:val="00AB33AC"/>
    <w:rsid w:val="00AB35C6"/>
    <w:rsid w:val="00AB7026"/>
    <w:rsid w:val="00AB74DA"/>
    <w:rsid w:val="00AC0C56"/>
    <w:rsid w:val="00AC1081"/>
    <w:rsid w:val="00AC55B2"/>
    <w:rsid w:val="00AD0A34"/>
    <w:rsid w:val="00AD1818"/>
    <w:rsid w:val="00AD1F5D"/>
    <w:rsid w:val="00AD436A"/>
    <w:rsid w:val="00AD51C6"/>
    <w:rsid w:val="00AD69E8"/>
    <w:rsid w:val="00AD735D"/>
    <w:rsid w:val="00AE0374"/>
    <w:rsid w:val="00AE0D2D"/>
    <w:rsid w:val="00AE44E7"/>
    <w:rsid w:val="00AE489B"/>
    <w:rsid w:val="00AE4DBD"/>
    <w:rsid w:val="00AE7ACB"/>
    <w:rsid w:val="00AF1404"/>
    <w:rsid w:val="00AF305E"/>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538B"/>
    <w:rsid w:val="00B1753D"/>
    <w:rsid w:val="00B22E4F"/>
    <w:rsid w:val="00B2604A"/>
    <w:rsid w:val="00B27895"/>
    <w:rsid w:val="00B27D76"/>
    <w:rsid w:val="00B3087C"/>
    <w:rsid w:val="00B310B9"/>
    <w:rsid w:val="00B3444E"/>
    <w:rsid w:val="00B347BA"/>
    <w:rsid w:val="00B34D9C"/>
    <w:rsid w:val="00B3579D"/>
    <w:rsid w:val="00B36FFA"/>
    <w:rsid w:val="00B37737"/>
    <w:rsid w:val="00B4058C"/>
    <w:rsid w:val="00B43C77"/>
    <w:rsid w:val="00B44253"/>
    <w:rsid w:val="00B4430C"/>
    <w:rsid w:val="00B46CEC"/>
    <w:rsid w:val="00B507F7"/>
    <w:rsid w:val="00B53F4E"/>
    <w:rsid w:val="00B546CF"/>
    <w:rsid w:val="00B61B4A"/>
    <w:rsid w:val="00B62F6C"/>
    <w:rsid w:val="00B6423E"/>
    <w:rsid w:val="00B654AE"/>
    <w:rsid w:val="00B66291"/>
    <w:rsid w:val="00B66B34"/>
    <w:rsid w:val="00B7101C"/>
    <w:rsid w:val="00B71C67"/>
    <w:rsid w:val="00B72369"/>
    <w:rsid w:val="00B72835"/>
    <w:rsid w:val="00B7382E"/>
    <w:rsid w:val="00B75C8C"/>
    <w:rsid w:val="00B75CBE"/>
    <w:rsid w:val="00B80A23"/>
    <w:rsid w:val="00B81F39"/>
    <w:rsid w:val="00B85077"/>
    <w:rsid w:val="00B8523E"/>
    <w:rsid w:val="00B86B36"/>
    <w:rsid w:val="00B87F44"/>
    <w:rsid w:val="00B91C20"/>
    <w:rsid w:val="00B91EC5"/>
    <w:rsid w:val="00B92770"/>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2B39"/>
    <w:rsid w:val="00BE4264"/>
    <w:rsid w:val="00BE50F6"/>
    <w:rsid w:val="00BE58E8"/>
    <w:rsid w:val="00BE5DF4"/>
    <w:rsid w:val="00BE6326"/>
    <w:rsid w:val="00BE6B0D"/>
    <w:rsid w:val="00BE78F9"/>
    <w:rsid w:val="00BF1272"/>
    <w:rsid w:val="00BF305A"/>
    <w:rsid w:val="00BF3DCF"/>
    <w:rsid w:val="00BF42C6"/>
    <w:rsid w:val="00BF5308"/>
    <w:rsid w:val="00BF5A8D"/>
    <w:rsid w:val="00C00880"/>
    <w:rsid w:val="00C04C5C"/>
    <w:rsid w:val="00C0627B"/>
    <w:rsid w:val="00C065A6"/>
    <w:rsid w:val="00C07538"/>
    <w:rsid w:val="00C11B3F"/>
    <w:rsid w:val="00C11E1B"/>
    <w:rsid w:val="00C125D1"/>
    <w:rsid w:val="00C153A1"/>
    <w:rsid w:val="00C1677B"/>
    <w:rsid w:val="00C2083C"/>
    <w:rsid w:val="00C21100"/>
    <w:rsid w:val="00C22B2F"/>
    <w:rsid w:val="00C2371E"/>
    <w:rsid w:val="00C23BCC"/>
    <w:rsid w:val="00C24718"/>
    <w:rsid w:val="00C2504F"/>
    <w:rsid w:val="00C2510D"/>
    <w:rsid w:val="00C30CA8"/>
    <w:rsid w:val="00C3124A"/>
    <w:rsid w:val="00C33B03"/>
    <w:rsid w:val="00C34B64"/>
    <w:rsid w:val="00C34D86"/>
    <w:rsid w:val="00C35892"/>
    <w:rsid w:val="00C35F5A"/>
    <w:rsid w:val="00C364CD"/>
    <w:rsid w:val="00C36DB4"/>
    <w:rsid w:val="00C4136A"/>
    <w:rsid w:val="00C41A66"/>
    <w:rsid w:val="00C42FFC"/>
    <w:rsid w:val="00C44E60"/>
    <w:rsid w:val="00C464E4"/>
    <w:rsid w:val="00C47FCB"/>
    <w:rsid w:val="00C517D8"/>
    <w:rsid w:val="00C527C4"/>
    <w:rsid w:val="00C52D44"/>
    <w:rsid w:val="00C56FDC"/>
    <w:rsid w:val="00C576DC"/>
    <w:rsid w:val="00C57732"/>
    <w:rsid w:val="00C57D0C"/>
    <w:rsid w:val="00C60993"/>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B7B"/>
    <w:rsid w:val="00C849ED"/>
    <w:rsid w:val="00C853CB"/>
    <w:rsid w:val="00C856B2"/>
    <w:rsid w:val="00C86BDC"/>
    <w:rsid w:val="00C878C8"/>
    <w:rsid w:val="00C90372"/>
    <w:rsid w:val="00C90ED8"/>
    <w:rsid w:val="00C91809"/>
    <w:rsid w:val="00C92F28"/>
    <w:rsid w:val="00C956DE"/>
    <w:rsid w:val="00C95BEF"/>
    <w:rsid w:val="00C960F4"/>
    <w:rsid w:val="00C96342"/>
    <w:rsid w:val="00C965FD"/>
    <w:rsid w:val="00C97291"/>
    <w:rsid w:val="00CA027B"/>
    <w:rsid w:val="00CA097D"/>
    <w:rsid w:val="00CA0F79"/>
    <w:rsid w:val="00CA1C4B"/>
    <w:rsid w:val="00CA1D6C"/>
    <w:rsid w:val="00CA2F3B"/>
    <w:rsid w:val="00CA331E"/>
    <w:rsid w:val="00CA366C"/>
    <w:rsid w:val="00CA3AAE"/>
    <w:rsid w:val="00CA6933"/>
    <w:rsid w:val="00CA7CA1"/>
    <w:rsid w:val="00CB0E24"/>
    <w:rsid w:val="00CB1114"/>
    <w:rsid w:val="00CB154C"/>
    <w:rsid w:val="00CB1BCA"/>
    <w:rsid w:val="00CB24DD"/>
    <w:rsid w:val="00CB3F8B"/>
    <w:rsid w:val="00CC3742"/>
    <w:rsid w:val="00CC4B5E"/>
    <w:rsid w:val="00CC514A"/>
    <w:rsid w:val="00CC6410"/>
    <w:rsid w:val="00CD1391"/>
    <w:rsid w:val="00CD3481"/>
    <w:rsid w:val="00CD34E7"/>
    <w:rsid w:val="00CD5447"/>
    <w:rsid w:val="00CD5B78"/>
    <w:rsid w:val="00CD7BD5"/>
    <w:rsid w:val="00CE100D"/>
    <w:rsid w:val="00CE2993"/>
    <w:rsid w:val="00CE3330"/>
    <w:rsid w:val="00CE42F2"/>
    <w:rsid w:val="00CE4A50"/>
    <w:rsid w:val="00CE5982"/>
    <w:rsid w:val="00CF1071"/>
    <w:rsid w:val="00CF173F"/>
    <w:rsid w:val="00CF5081"/>
    <w:rsid w:val="00CF51B1"/>
    <w:rsid w:val="00CF551B"/>
    <w:rsid w:val="00CF70A4"/>
    <w:rsid w:val="00D000F9"/>
    <w:rsid w:val="00D00156"/>
    <w:rsid w:val="00D00E22"/>
    <w:rsid w:val="00D01DED"/>
    <w:rsid w:val="00D027EA"/>
    <w:rsid w:val="00D0380A"/>
    <w:rsid w:val="00D054CA"/>
    <w:rsid w:val="00D05554"/>
    <w:rsid w:val="00D0788C"/>
    <w:rsid w:val="00D1341F"/>
    <w:rsid w:val="00D1450C"/>
    <w:rsid w:val="00D1572A"/>
    <w:rsid w:val="00D15CE1"/>
    <w:rsid w:val="00D220DF"/>
    <w:rsid w:val="00D22210"/>
    <w:rsid w:val="00D23776"/>
    <w:rsid w:val="00D260AE"/>
    <w:rsid w:val="00D30224"/>
    <w:rsid w:val="00D31DC3"/>
    <w:rsid w:val="00D32832"/>
    <w:rsid w:val="00D337BB"/>
    <w:rsid w:val="00D34374"/>
    <w:rsid w:val="00D35471"/>
    <w:rsid w:val="00D408AF"/>
    <w:rsid w:val="00D40B59"/>
    <w:rsid w:val="00D42668"/>
    <w:rsid w:val="00D43385"/>
    <w:rsid w:val="00D464F4"/>
    <w:rsid w:val="00D5267E"/>
    <w:rsid w:val="00D52E14"/>
    <w:rsid w:val="00D54660"/>
    <w:rsid w:val="00D54C79"/>
    <w:rsid w:val="00D5500F"/>
    <w:rsid w:val="00D56124"/>
    <w:rsid w:val="00D56236"/>
    <w:rsid w:val="00D568F7"/>
    <w:rsid w:val="00D5715A"/>
    <w:rsid w:val="00D60816"/>
    <w:rsid w:val="00D61E49"/>
    <w:rsid w:val="00D61E9C"/>
    <w:rsid w:val="00D64C60"/>
    <w:rsid w:val="00D667C9"/>
    <w:rsid w:val="00D71A87"/>
    <w:rsid w:val="00D744F8"/>
    <w:rsid w:val="00D74A12"/>
    <w:rsid w:val="00D752B0"/>
    <w:rsid w:val="00D756C7"/>
    <w:rsid w:val="00D75A0D"/>
    <w:rsid w:val="00D77654"/>
    <w:rsid w:val="00D779AD"/>
    <w:rsid w:val="00D8141A"/>
    <w:rsid w:val="00D81CAC"/>
    <w:rsid w:val="00D858A9"/>
    <w:rsid w:val="00D85E08"/>
    <w:rsid w:val="00D86B09"/>
    <w:rsid w:val="00D86E39"/>
    <w:rsid w:val="00D87423"/>
    <w:rsid w:val="00D87FE5"/>
    <w:rsid w:val="00D90E03"/>
    <w:rsid w:val="00D91E6B"/>
    <w:rsid w:val="00D9237C"/>
    <w:rsid w:val="00D93149"/>
    <w:rsid w:val="00D97B85"/>
    <w:rsid w:val="00DA0D9D"/>
    <w:rsid w:val="00DA410D"/>
    <w:rsid w:val="00DA52B9"/>
    <w:rsid w:val="00DA5A36"/>
    <w:rsid w:val="00DA7922"/>
    <w:rsid w:val="00DB143D"/>
    <w:rsid w:val="00DB37A6"/>
    <w:rsid w:val="00DB5A3E"/>
    <w:rsid w:val="00DC038A"/>
    <w:rsid w:val="00DC1036"/>
    <w:rsid w:val="00DC1687"/>
    <w:rsid w:val="00DC1D72"/>
    <w:rsid w:val="00DC3717"/>
    <w:rsid w:val="00DC52A2"/>
    <w:rsid w:val="00DC7F96"/>
    <w:rsid w:val="00DD069F"/>
    <w:rsid w:val="00DD26A4"/>
    <w:rsid w:val="00DD373E"/>
    <w:rsid w:val="00DD4EDD"/>
    <w:rsid w:val="00DD568C"/>
    <w:rsid w:val="00DE0332"/>
    <w:rsid w:val="00DE123B"/>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06C06"/>
    <w:rsid w:val="00E10432"/>
    <w:rsid w:val="00E10E4E"/>
    <w:rsid w:val="00E11120"/>
    <w:rsid w:val="00E1388E"/>
    <w:rsid w:val="00E154B8"/>
    <w:rsid w:val="00E156B3"/>
    <w:rsid w:val="00E2006F"/>
    <w:rsid w:val="00E24FAB"/>
    <w:rsid w:val="00E25518"/>
    <w:rsid w:val="00E2565F"/>
    <w:rsid w:val="00E25FEB"/>
    <w:rsid w:val="00E27C7B"/>
    <w:rsid w:val="00E27D4E"/>
    <w:rsid w:val="00E300C1"/>
    <w:rsid w:val="00E302C0"/>
    <w:rsid w:val="00E31CCE"/>
    <w:rsid w:val="00E3365D"/>
    <w:rsid w:val="00E33BED"/>
    <w:rsid w:val="00E343FC"/>
    <w:rsid w:val="00E346DB"/>
    <w:rsid w:val="00E349E6"/>
    <w:rsid w:val="00E35727"/>
    <w:rsid w:val="00E3598B"/>
    <w:rsid w:val="00E424A0"/>
    <w:rsid w:val="00E43C31"/>
    <w:rsid w:val="00E46383"/>
    <w:rsid w:val="00E463AD"/>
    <w:rsid w:val="00E50345"/>
    <w:rsid w:val="00E50E8D"/>
    <w:rsid w:val="00E52BC4"/>
    <w:rsid w:val="00E56C61"/>
    <w:rsid w:val="00E57CE5"/>
    <w:rsid w:val="00E57FA5"/>
    <w:rsid w:val="00E60576"/>
    <w:rsid w:val="00E6257F"/>
    <w:rsid w:val="00E643B9"/>
    <w:rsid w:val="00E65D29"/>
    <w:rsid w:val="00E703DA"/>
    <w:rsid w:val="00E7149C"/>
    <w:rsid w:val="00E71523"/>
    <w:rsid w:val="00E728F0"/>
    <w:rsid w:val="00E73A08"/>
    <w:rsid w:val="00E7456A"/>
    <w:rsid w:val="00E7549B"/>
    <w:rsid w:val="00E76D66"/>
    <w:rsid w:val="00E77AE0"/>
    <w:rsid w:val="00E77C46"/>
    <w:rsid w:val="00E80E63"/>
    <w:rsid w:val="00E816BB"/>
    <w:rsid w:val="00E81A85"/>
    <w:rsid w:val="00E835FE"/>
    <w:rsid w:val="00E8544B"/>
    <w:rsid w:val="00E86237"/>
    <w:rsid w:val="00E864DD"/>
    <w:rsid w:val="00E86C39"/>
    <w:rsid w:val="00E874DE"/>
    <w:rsid w:val="00E9025E"/>
    <w:rsid w:val="00E9068E"/>
    <w:rsid w:val="00E92E1F"/>
    <w:rsid w:val="00E9401C"/>
    <w:rsid w:val="00E947A5"/>
    <w:rsid w:val="00E94C85"/>
    <w:rsid w:val="00EA1682"/>
    <w:rsid w:val="00EA4A57"/>
    <w:rsid w:val="00EA6072"/>
    <w:rsid w:val="00EA68D8"/>
    <w:rsid w:val="00EB1427"/>
    <w:rsid w:val="00EB1C6B"/>
    <w:rsid w:val="00EB2162"/>
    <w:rsid w:val="00EB255C"/>
    <w:rsid w:val="00EB36C5"/>
    <w:rsid w:val="00EB6160"/>
    <w:rsid w:val="00EB65E9"/>
    <w:rsid w:val="00EB6E5F"/>
    <w:rsid w:val="00EC294F"/>
    <w:rsid w:val="00EC3873"/>
    <w:rsid w:val="00EC4074"/>
    <w:rsid w:val="00EC5523"/>
    <w:rsid w:val="00EC729A"/>
    <w:rsid w:val="00ED3589"/>
    <w:rsid w:val="00EE20A5"/>
    <w:rsid w:val="00EE2D87"/>
    <w:rsid w:val="00EE5A12"/>
    <w:rsid w:val="00EE5A18"/>
    <w:rsid w:val="00EE5FB6"/>
    <w:rsid w:val="00EE6146"/>
    <w:rsid w:val="00EE69BD"/>
    <w:rsid w:val="00EF06C2"/>
    <w:rsid w:val="00EF070B"/>
    <w:rsid w:val="00EF1C7B"/>
    <w:rsid w:val="00EF2268"/>
    <w:rsid w:val="00EF2EDE"/>
    <w:rsid w:val="00EF3494"/>
    <w:rsid w:val="00EF36A5"/>
    <w:rsid w:val="00EF3A09"/>
    <w:rsid w:val="00EF4473"/>
    <w:rsid w:val="00EF58EF"/>
    <w:rsid w:val="00EF595A"/>
    <w:rsid w:val="00EF69F3"/>
    <w:rsid w:val="00EF7F19"/>
    <w:rsid w:val="00F027DE"/>
    <w:rsid w:val="00F02902"/>
    <w:rsid w:val="00F02CF2"/>
    <w:rsid w:val="00F02D19"/>
    <w:rsid w:val="00F069FC"/>
    <w:rsid w:val="00F0713E"/>
    <w:rsid w:val="00F07FAE"/>
    <w:rsid w:val="00F07FCC"/>
    <w:rsid w:val="00F10825"/>
    <w:rsid w:val="00F119FC"/>
    <w:rsid w:val="00F12108"/>
    <w:rsid w:val="00F140C2"/>
    <w:rsid w:val="00F1446D"/>
    <w:rsid w:val="00F15063"/>
    <w:rsid w:val="00F1511E"/>
    <w:rsid w:val="00F17E80"/>
    <w:rsid w:val="00F2111A"/>
    <w:rsid w:val="00F21146"/>
    <w:rsid w:val="00F23501"/>
    <w:rsid w:val="00F23B8C"/>
    <w:rsid w:val="00F26238"/>
    <w:rsid w:val="00F305FD"/>
    <w:rsid w:val="00F31CDD"/>
    <w:rsid w:val="00F3232C"/>
    <w:rsid w:val="00F33C0D"/>
    <w:rsid w:val="00F352AF"/>
    <w:rsid w:val="00F36B8B"/>
    <w:rsid w:val="00F37279"/>
    <w:rsid w:val="00F377BF"/>
    <w:rsid w:val="00F37C98"/>
    <w:rsid w:val="00F37FBE"/>
    <w:rsid w:val="00F404F2"/>
    <w:rsid w:val="00F41B8D"/>
    <w:rsid w:val="00F42A01"/>
    <w:rsid w:val="00F4359E"/>
    <w:rsid w:val="00F443E0"/>
    <w:rsid w:val="00F45AE8"/>
    <w:rsid w:val="00F45FED"/>
    <w:rsid w:val="00F46149"/>
    <w:rsid w:val="00F47BEF"/>
    <w:rsid w:val="00F47BF0"/>
    <w:rsid w:val="00F47DE7"/>
    <w:rsid w:val="00F50304"/>
    <w:rsid w:val="00F506B7"/>
    <w:rsid w:val="00F5347A"/>
    <w:rsid w:val="00F545A3"/>
    <w:rsid w:val="00F54D6B"/>
    <w:rsid w:val="00F556E7"/>
    <w:rsid w:val="00F5757B"/>
    <w:rsid w:val="00F61052"/>
    <w:rsid w:val="00F66EB5"/>
    <w:rsid w:val="00F71127"/>
    <w:rsid w:val="00F72352"/>
    <w:rsid w:val="00F73053"/>
    <w:rsid w:val="00F730E3"/>
    <w:rsid w:val="00F7322D"/>
    <w:rsid w:val="00F74361"/>
    <w:rsid w:val="00F7626F"/>
    <w:rsid w:val="00F768AD"/>
    <w:rsid w:val="00F772DE"/>
    <w:rsid w:val="00F81813"/>
    <w:rsid w:val="00F856B5"/>
    <w:rsid w:val="00F9256C"/>
    <w:rsid w:val="00F93A79"/>
    <w:rsid w:val="00F940A1"/>
    <w:rsid w:val="00F94547"/>
    <w:rsid w:val="00F947B4"/>
    <w:rsid w:val="00F961A7"/>
    <w:rsid w:val="00FA089A"/>
    <w:rsid w:val="00FA08AC"/>
    <w:rsid w:val="00FA16C2"/>
    <w:rsid w:val="00FA1924"/>
    <w:rsid w:val="00FA23EC"/>
    <w:rsid w:val="00FA4BA9"/>
    <w:rsid w:val="00FA6B63"/>
    <w:rsid w:val="00FB0356"/>
    <w:rsid w:val="00FB1099"/>
    <w:rsid w:val="00FB1A8B"/>
    <w:rsid w:val="00FB611A"/>
    <w:rsid w:val="00FB772A"/>
    <w:rsid w:val="00FB7D42"/>
    <w:rsid w:val="00FC0D5C"/>
    <w:rsid w:val="00FC0FC8"/>
    <w:rsid w:val="00FC179D"/>
    <w:rsid w:val="00FC4037"/>
    <w:rsid w:val="00FC4B45"/>
    <w:rsid w:val="00FC4EF4"/>
    <w:rsid w:val="00FC5A0A"/>
    <w:rsid w:val="00FC74FF"/>
    <w:rsid w:val="00FC7E85"/>
    <w:rsid w:val="00FD0530"/>
    <w:rsid w:val="00FD0BDD"/>
    <w:rsid w:val="00FD4B59"/>
    <w:rsid w:val="00FD4FA9"/>
    <w:rsid w:val="00FD544B"/>
    <w:rsid w:val="00FE0427"/>
    <w:rsid w:val="00FE085B"/>
    <w:rsid w:val="00FE178B"/>
    <w:rsid w:val="00FE197C"/>
    <w:rsid w:val="00FE2DB4"/>
    <w:rsid w:val="00FE63F2"/>
    <w:rsid w:val="00FE680D"/>
    <w:rsid w:val="00FE6942"/>
    <w:rsid w:val="00FE70D1"/>
    <w:rsid w:val="00FE799C"/>
    <w:rsid w:val="00FF1585"/>
    <w:rsid w:val="00FF30DF"/>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Revisin">
    <w:name w:val="Revision"/>
    <w:hidden/>
    <w:uiPriority w:val="99"/>
    <w:semiHidden/>
    <w:rsid w:val="00C60993"/>
    <w:rPr>
      <w:sz w:val="24"/>
      <w:szCs w:val="24"/>
      <w:lang w:val="es-ES" w:eastAsia="es-ES"/>
    </w:rPr>
  </w:style>
  <w:style w:type="character" w:customStyle="1" w:styleId="PiedepginaCar">
    <w:name w:val="Pie de página Car"/>
    <w:basedOn w:val="Fuentedeprrafopredeter"/>
    <w:link w:val="Piedepgina"/>
    <w:uiPriority w:val="99"/>
    <w:rsid w:val="00F2111A"/>
    <w:rPr>
      <w:rFonts w:ascii="Arial" w:hAnsi="Arial" w:cs="Arial"/>
      <w:sz w:val="22"/>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244">
      <w:bodyDiv w:val="1"/>
      <w:marLeft w:val="0"/>
      <w:marRight w:val="0"/>
      <w:marTop w:val="0"/>
      <w:marBottom w:val="0"/>
      <w:divBdr>
        <w:top w:val="none" w:sz="0" w:space="0" w:color="auto"/>
        <w:left w:val="none" w:sz="0" w:space="0" w:color="auto"/>
        <w:bottom w:val="none" w:sz="0" w:space="0" w:color="auto"/>
        <w:right w:val="none" w:sz="0" w:space="0" w:color="auto"/>
      </w:divBdr>
    </w:div>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58864489">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1146819">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341321731">
      <w:bodyDiv w:val="1"/>
      <w:marLeft w:val="0"/>
      <w:marRight w:val="0"/>
      <w:marTop w:val="0"/>
      <w:marBottom w:val="0"/>
      <w:divBdr>
        <w:top w:val="none" w:sz="0" w:space="0" w:color="auto"/>
        <w:left w:val="none" w:sz="0" w:space="0" w:color="auto"/>
        <w:bottom w:val="none" w:sz="0" w:space="0" w:color="auto"/>
        <w:right w:val="none" w:sz="0" w:space="0" w:color="auto"/>
      </w:divBdr>
    </w:div>
    <w:div w:id="403839481">
      <w:bodyDiv w:val="1"/>
      <w:marLeft w:val="0"/>
      <w:marRight w:val="0"/>
      <w:marTop w:val="0"/>
      <w:marBottom w:val="0"/>
      <w:divBdr>
        <w:top w:val="none" w:sz="0" w:space="0" w:color="auto"/>
        <w:left w:val="none" w:sz="0" w:space="0" w:color="auto"/>
        <w:bottom w:val="none" w:sz="0" w:space="0" w:color="auto"/>
        <w:right w:val="none" w:sz="0" w:space="0" w:color="auto"/>
      </w:divBdr>
    </w:div>
    <w:div w:id="408893770">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478158626">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02905440">
      <w:bodyDiv w:val="1"/>
      <w:marLeft w:val="0"/>
      <w:marRight w:val="0"/>
      <w:marTop w:val="0"/>
      <w:marBottom w:val="0"/>
      <w:divBdr>
        <w:top w:val="none" w:sz="0" w:space="0" w:color="auto"/>
        <w:left w:val="none" w:sz="0" w:space="0" w:color="auto"/>
        <w:bottom w:val="none" w:sz="0" w:space="0" w:color="auto"/>
        <w:right w:val="none" w:sz="0" w:space="0" w:color="auto"/>
      </w:divBdr>
    </w:div>
    <w:div w:id="763257842">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098713262">
      <w:bodyDiv w:val="1"/>
      <w:marLeft w:val="0"/>
      <w:marRight w:val="0"/>
      <w:marTop w:val="0"/>
      <w:marBottom w:val="0"/>
      <w:divBdr>
        <w:top w:val="none" w:sz="0" w:space="0" w:color="auto"/>
        <w:left w:val="none" w:sz="0" w:space="0" w:color="auto"/>
        <w:bottom w:val="none" w:sz="0" w:space="0" w:color="auto"/>
        <w:right w:val="none" w:sz="0" w:space="0" w:color="auto"/>
      </w:divBdr>
    </w:div>
    <w:div w:id="1146316913">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232620455">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561358091">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723556347">
      <w:bodyDiv w:val="1"/>
      <w:marLeft w:val="0"/>
      <w:marRight w:val="0"/>
      <w:marTop w:val="0"/>
      <w:marBottom w:val="0"/>
      <w:divBdr>
        <w:top w:val="none" w:sz="0" w:space="0" w:color="auto"/>
        <w:left w:val="none" w:sz="0" w:space="0" w:color="auto"/>
        <w:bottom w:val="none" w:sz="0" w:space="0" w:color="auto"/>
        <w:right w:val="none" w:sz="0" w:space="0" w:color="auto"/>
      </w:divBdr>
    </w:div>
    <w:div w:id="1743530079">
      <w:bodyDiv w:val="1"/>
      <w:marLeft w:val="0"/>
      <w:marRight w:val="0"/>
      <w:marTop w:val="0"/>
      <w:marBottom w:val="0"/>
      <w:divBdr>
        <w:top w:val="none" w:sz="0" w:space="0" w:color="auto"/>
        <w:left w:val="none" w:sz="0" w:space="0" w:color="auto"/>
        <w:bottom w:val="none" w:sz="0" w:space="0" w:color="auto"/>
        <w:right w:val="none" w:sz="0" w:space="0" w:color="auto"/>
      </w:divBdr>
    </w:div>
    <w:div w:id="1771470351">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86019014">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1949391573">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559686">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076778022">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 w:id="2141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160966"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uncionpublica.gov.co/eva/gestornormativo/norma.php?i=160966"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60966"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funcionpublica.gov.co/eva/gestornormativo/norma.php?i=160966" TargetMode="External"/><Relationship Id="rId23" Type="http://schemas.openxmlformats.org/officeDocument/2006/relationships/image" Target="media/image3.emf"/><Relationship Id="rId10" Type="http://schemas.openxmlformats.org/officeDocument/2006/relationships/hyperlink" Target="https://www.funcionpublica.gov.co/eva/gestornormativo/norma.php?i=7765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160966"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E446-E9CA-468F-9EE1-2DC11E23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2600</Words>
  <Characters>14303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16870</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SINDRY JANETH AHUMADA MARTINEZ</cp:lastModifiedBy>
  <cp:revision>7</cp:revision>
  <cp:lastPrinted>2017-07-04T19:52:00Z</cp:lastPrinted>
  <dcterms:created xsi:type="dcterms:W3CDTF">2022-12-29T23:38:00Z</dcterms:created>
  <dcterms:modified xsi:type="dcterms:W3CDTF">2023-12-11T15:45:00Z</dcterms:modified>
</cp:coreProperties>
</file>