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B458" w14:textId="77777777" w:rsidR="00F13E9B" w:rsidRDefault="00F13E9B">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5D506890" w14:textId="77777777" w:rsidR="00F13E9B" w:rsidRDefault="00013C4A">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70C838EC" w14:textId="77777777" w:rsidR="00F13E9B" w:rsidRDefault="00F13E9B">
      <w:pPr>
        <w:rPr>
          <w:rFonts w:ascii="Arial Narrow" w:eastAsia="Arial Narrow" w:hAnsi="Arial Narrow" w:cs="Arial Narrow"/>
          <w:sz w:val="22"/>
          <w:szCs w:val="22"/>
        </w:rPr>
      </w:pPr>
    </w:p>
    <w:p w14:paraId="4C3CA30E" w14:textId="77777777" w:rsidR="00F13E9B" w:rsidRDefault="00013C4A">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4D482A86" w14:textId="77777777" w:rsidR="00F13E9B" w:rsidRDefault="00F13E9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lang w:val="es-ES"/>
        </w:rPr>
        <w:id w:val="668445879"/>
        <w:docPartObj>
          <w:docPartGallery w:val="Table of Contents"/>
          <w:docPartUnique/>
        </w:docPartObj>
      </w:sdtPr>
      <w:sdtEndPr>
        <w:rPr>
          <w:rFonts w:ascii="Times New Roman" w:hAnsi="Times New Roman"/>
          <w:b/>
          <w:bCs/>
          <w:color w:val="auto"/>
          <w:sz w:val="24"/>
          <w:szCs w:val="24"/>
          <w:lang w:eastAsia="es-ES"/>
        </w:rPr>
      </w:sdtEndPr>
      <w:sdtContent>
        <w:bookmarkStart w:id="1" w:name="_GoBack" w:displacedByCustomXml="prev"/>
        <w:bookmarkEnd w:id="1" w:displacedByCustomXml="prev"/>
        <w:p w14:paraId="30DF4A5E" w14:textId="1892E64C" w:rsidR="00FF3B63" w:rsidRDefault="00FF3B63">
          <w:pPr>
            <w:pStyle w:val="TtuloTDC"/>
          </w:pPr>
          <w:r>
            <w:rPr>
              <w:lang w:val="es-ES"/>
            </w:rPr>
            <w:t>Contenido</w:t>
          </w:r>
        </w:p>
        <w:p w14:paraId="75F5C418" w14:textId="4895DCAE" w:rsidR="00FF3B63" w:rsidRDefault="00FF3B63">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5050" w:history="1">
            <w:r w:rsidRPr="002331E0">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_Toc153865050 \h </w:instrText>
            </w:r>
            <w:r>
              <w:rPr>
                <w:noProof/>
                <w:webHidden/>
              </w:rPr>
            </w:r>
            <w:r>
              <w:rPr>
                <w:noProof/>
                <w:webHidden/>
              </w:rPr>
              <w:fldChar w:fldCharType="separate"/>
            </w:r>
            <w:r>
              <w:rPr>
                <w:noProof/>
                <w:webHidden/>
              </w:rPr>
              <w:t>2</w:t>
            </w:r>
            <w:r>
              <w:rPr>
                <w:noProof/>
                <w:webHidden/>
              </w:rPr>
              <w:fldChar w:fldCharType="end"/>
            </w:r>
          </w:hyperlink>
        </w:p>
        <w:p w14:paraId="7070BDA2" w14:textId="0ADA71E3" w:rsidR="00FF3B63" w:rsidRDefault="00FF3B63">
          <w:pPr>
            <w:pStyle w:val="TDC3"/>
            <w:rPr>
              <w:rFonts w:asciiTheme="minorHAnsi" w:eastAsiaTheme="minorEastAsia" w:hAnsiTheme="minorHAnsi" w:cstheme="minorBidi"/>
              <w:b w:val="0"/>
              <w:bCs w:val="0"/>
              <w:noProof/>
              <w:lang w:val="es-CO" w:eastAsia="es-CO"/>
            </w:rPr>
          </w:pPr>
          <w:hyperlink w:anchor="_Toc153865051" w:history="1">
            <w:r w:rsidRPr="002331E0">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_Toc153865051 \h </w:instrText>
            </w:r>
            <w:r>
              <w:rPr>
                <w:noProof/>
                <w:webHidden/>
              </w:rPr>
            </w:r>
            <w:r>
              <w:rPr>
                <w:noProof/>
                <w:webHidden/>
              </w:rPr>
              <w:fldChar w:fldCharType="separate"/>
            </w:r>
            <w:r>
              <w:rPr>
                <w:noProof/>
                <w:webHidden/>
              </w:rPr>
              <w:t>2</w:t>
            </w:r>
            <w:r>
              <w:rPr>
                <w:noProof/>
                <w:webHidden/>
              </w:rPr>
              <w:fldChar w:fldCharType="end"/>
            </w:r>
          </w:hyperlink>
        </w:p>
        <w:p w14:paraId="3027E5DD" w14:textId="0251D99A" w:rsidR="00FF3B63" w:rsidRDefault="00FF3B63">
          <w:pPr>
            <w:pStyle w:val="TDC3"/>
            <w:rPr>
              <w:rFonts w:asciiTheme="minorHAnsi" w:eastAsiaTheme="minorEastAsia" w:hAnsiTheme="minorHAnsi" w:cstheme="minorBidi"/>
              <w:b w:val="0"/>
              <w:bCs w:val="0"/>
              <w:noProof/>
              <w:lang w:val="es-CO" w:eastAsia="es-CO"/>
            </w:rPr>
          </w:pPr>
          <w:hyperlink w:anchor="_Toc153865052" w:history="1">
            <w:r w:rsidRPr="002331E0">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_Toc153865052 \h </w:instrText>
            </w:r>
            <w:r>
              <w:rPr>
                <w:noProof/>
                <w:webHidden/>
              </w:rPr>
            </w:r>
            <w:r>
              <w:rPr>
                <w:noProof/>
                <w:webHidden/>
              </w:rPr>
              <w:fldChar w:fldCharType="separate"/>
            </w:r>
            <w:r>
              <w:rPr>
                <w:noProof/>
                <w:webHidden/>
              </w:rPr>
              <w:t>2</w:t>
            </w:r>
            <w:r>
              <w:rPr>
                <w:noProof/>
                <w:webHidden/>
              </w:rPr>
              <w:fldChar w:fldCharType="end"/>
            </w:r>
          </w:hyperlink>
        </w:p>
        <w:p w14:paraId="05AA2C6D" w14:textId="6AAC0919" w:rsidR="00FF3B63" w:rsidRDefault="00FF3B63">
          <w:pPr>
            <w:pStyle w:val="TDC3"/>
            <w:rPr>
              <w:rFonts w:asciiTheme="minorHAnsi" w:eastAsiaTheme="minorEastAsia" w:hAnsiTheme="minorHAnsi" w:cstheme="minorBidi"/>
              <w:b w:val="0"/>
              <w:bCs w:val="0"/>
              <w:noProof/>
              <w:lang w:val="es-CO" w:eastAsia="es-CO"/>
            </w:rPr>
          </w:pPr>
          <w:hyperlink w:anchor="_Toc153865053" w:history="1">
            <w:r w:rsidRPr="002331E0">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_Toc153865053 \h </w:instrText>
            </w:r>
            <w:r>
              <w:rPr>
                <w:noProof/>
                <w:webHidden/>
              </w:rPr>
            </w:r>
            <w:r>
              <w:rPr>
                <w:noProof/>
                <w:webHidden/>
              </w:rPr>
              <w:fldChar w:fldCharType="separate"/>
            </w:r>
            <w:r>
              <w:rPr>
                <w:noProof/>
                <w:webHidden/>
              </w:rPr>
              <w:t>3</w:t>
            </w:r>
            <w:r>
              <w:rPr>
                <w:noProof/>
                <w:webHidden/>
              </w:rPr>
              <w:fldChar w:fldCharType="end"/>
            </w:r>
          </w:hyperlink>
        </w:p>
        <w:p w14:paraId="6C76FC9B" w14:textId="6747D5CD" w:rsidR="00FF3B63" w:rsidRDefault="00FF3B63">
          <w:pPr>
            <w:pStyle w:val="TDC3"/>
            <w:rPr>
              <w:rFonts w:asciiTheme="minorHAnsi" w:eastAsiaTheme="minorEastAsia" w:hAnsiTheme="minorHAnsi" w:cstheme="minorBidi"/>
              <w:b w:val="0"/>
              <w:bCs w:val="0"/>
              <w:noProof/>
              <w:lang w:val="es-CO" w:eastAsia="es-CO"/>
            </w:rPr>
          </w:pPr>
          <w:hyperlink w:anchor="_Toc153865054" w:history="1">
            <w:r w:rsidRPr="002331E0">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_Toc153865054 \h </w:instrText>
            </w:r>
            <w:r>
              <w:rPr>
                <w:noProof/>
                <w:webHidden/>
              </w:rPr>
            </w:r>
            <w:r>
              <w:rPr>
                <w:noProof/>
                <w:webHidden/>
              </w:rPr>
              <w:fldChar w:fldCharType="separate"/>
            </w:r>
            <w:r>
              <w:rPr>
                <w:noProof/>
                <w:webHidden/>
              </w:rPr>
              <w:t>3</w:t>
            </w:r>
            <w:r>
              <w:rPr>
                <w:noProof/>
                <w:webHidden/>
              </w:rPr>
              <w:fldChar w:fldCharType="end"/>
            </w:r>
          </w:hyperlink>
        </w:p>
        <w:p w14:paraId="2BC5AA31" w14:textId="001449A3" w:rsidR="00FF3B63" w:rsidRDefault="00FF3B63">
          <w:pPr>
            <w:pStyle w:val="TDC3"/>
            <w:rPr>
              <w:rFonts w:asciiTheme="minorHAnsi" w:eastAsiaTheme="minorEastAsia" w:hAnsiTheme="minorHAnsi" w:cstheme="minorBidi"/>
              <w:b w:val="0"/>
              <w:bCs w:val="0"/>
              <w:noProof/>
              <w:lang w:val="es-CO" w:eastAsia="es-CO"/>
            </w:rPr>
          </w:pPr>
          <w:hyperlink w:anchor="_Toc153865055" w:history="1">
            <w:r w:rsidRPr="002331E0">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_Toc153865055 \h </w:instrText>
            </w:r>
            <w:r>
              <w:rPr>
                <w:noProof/>
                <w:webHidden/>
              </w:rPr>
            </w:r>
            <w:r>
              <w:rPr>
                <w:noProof/>
                <w:webHidden/>
              </w:rPr>
              <w:fldChar w:fldCharType="separate"/>
            </w:r>
            <w:r>
              <w:rPr>
                <w:noProof/>
                <w:webHidden/>
              </w:rPr>
              <w:t>3</w:t>
            </w:r>
            <w:r>
              <w:rPr>
                <w:noProof/>
                <w:webHidden/>
              </w:rPr>
              <w:fldChar w:fldCharType="end"/>
            </w:r>
          </w:hyperlink>
        </w:p>
        <w:p w14:paraId="591ED238" w14:textId="7D44514E" w:rsidR="00FF3B63" w:rsidRDefault="00FF3B63">
          <w:pPr>
            <w:pStyle w:val="TDC3"/>
            <w:rPr>
              <w:rFonts w:asciiTheme="minorHAnsi" w:eastAsiaTheme="minorEastAsia" w:hAnsiTheme="minorHAnsi" w:cstheme="minorBidi"/>
              <w:b w:val="0"/>
              <w:bCs w:val="0"/>
              <w:noProof/>
              <w:lang w:val="es-CO" w:eastAsia="es-CO"/>
            </w:rPr>
          </w:pPr>
          <w:hyperlink w:anchor="_Toc153865056" w:history="1">
            <w:r w:rsidRPr="002331E0">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_Toc153865056 \h </w:instrText>
            </w:r>
            <w:r>
              <w:rPr>
                <w:noProof/>
                <w:webHidden/>
              </w:rPr>
            </w:r>
            <w:r>
              <w:rPr>
                <w:noProof/>
                <w:webHidden/>
              </w:rPr>
              <w:fldChar w:fldCharType="separate"/>
            </w:r>
            <w:r>
              <w:rPr>
                <w:noProof/>
                <w:webHidden/>
              </w:rPr>
              <w:t>3</w:t>
            </w:r>
            <w:r>
              <w:rPr>
                <w:noProof/>
                <w:webHidden/>
              </w:rPr>
              <w:fldChar w:fldCharType="end"/>
            </w:r>
          </w:hyperlink>
        </w:p>
        <w:p w14:paraId="0E73A5EF" w14:textId="54DB3DC6" w:rsidR="00FF3B63" w:rsidRDefault="00FF3B63">
          <w:pPr>
            <w:pStyle w:val="TDC3"/>
            <w:rPr>
              <w:rFonts w:asciiTheme="minorHAnsi" w:eastAsiaTheme="minorEastAsia" w:hAnsiTheme="minorHAnsi" w:cstheme="minorBidi"/>
              <w:b w:val="0"/>
              <w:bCs w:val="0"/>
              <w:noProof/>
              <w:lang w:val="es-CO" w:eastAsia="es-CO"/>
            </w:rPr>
          </w:pPr>
          <w:hyperlink w:anchor="_Toc153865057" w:history="1">
            <w:r w:rsidRPr="002331E0">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_Toc153865057 \h </w:instrText>
            </w:r>
            <w:r>
              <w:rPr>
                <w:noProof/>
                <w:webHidden/>
              </w:rPr>
            </w:r>
            <w:r>
              <w:rPr>
                <w:noProof/>
                <w:webHidden/>
              </w:rPr>
              <w:fldChar w:fldCharType="separate"/>
            </w:r>
            <w:r>
              <w:rPr>
                <w:noProof/>
                <w:webHidden/>
              </w:rPr>
              <w:t>4</w:t>
            </w:r>
            <w:r>
              <w:rPr>
                <w:noProof/>
                <w:webHidden/>
              </w:rPr>
              <w:fldChar w:fldCharType="end"/>
            </w:r>
          </w:hyperlink>
        </w:p>
        <w:p w14:paraId="05B17168" w14:textId="4C3E026E" w:rsidR="00FF3B63" w:rsidRDefault="00FF3B63">
          <w:pPr>
            <w:pStyle w:val="TDC3"/>
            <w:rPr>
              <w:rFonts w:asciiTheme="minorHAnsi" w:eastAsiaTheme="minorEastAsia" w:hAnsiTheme="minorHAnsi" w:cstheme="minorBidi"/>
              <w:b w:val="0"/>
              <w:bCs w:val="0"/>
              <w:noProof/>
              <w:lang w:val="es-CO" w:eastAsia="es-CO"/>
            </w:rPr>
          </w:pPr>
          <w:hyperlink w:anchor="_Toc153865058" w:history="1">
            <w:r w:rsidRPr="002331E0">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2331E0">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_Toc153865058 \h </w:instrText>
            </w:r>
            <w:r>
              <w:rPr>
                <w:noProof/>
                <w:webHidden/>
              </w:rPr>
            </w:r>
            <w:r>
              <w:rPr>
                <w:noProof/>
                <w:webHidden/>
              </w:rPr>
              <w:fldChar w:fldCharType="separate"/>
            </w:r>
            <w:r>
              <w:rPr>
                <w:noProof/>
                <w:webHidden/>
              </w:rPr>
              <w:t>6</w:t>
            </w:r>
            <w:r>
              <w:rPr>
                <w:noProof/>
                <w:webHidden/>
              </w:rPr>
              <w:fldChar w:fldCharType="end"/>
            </w:r>
          </w:hyperlink>
        </w:p>
        <w:p w14:paraId="0134C03C" w14:textId="00F02A49" w:rsidR="00FF3B63" w:rsidRDefault="00FF3B63">
          <w:r>
            <w:rPr>
              <w:b/>
              <w:bCs/>
            </w:rPr>
            <w:fldChar w:fldCharType="end"/>
          </w:r>
        </w:p>
      </w:sdtContent>
    </w:sdt>
    <w:p w14:paraId="7A34D43D"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2" w:name="_Toc153865050"/>
      <w:r>
        <w:rPr>
          <w:rFonts w:ascii="Arial Narrow" w:eastAsia="Arial Narrow" w:hAnsi="Arial Narrow" w:cs="Arial Narrow"/>
          <w:sz w:val="22"/>
          <w:szCs w:val="22"/>
        </w:rPr>
        <w:lastRenderedPageBreak/>
        <w:t>OBJETIVO</w:t>
      </w:r>
      <w:bookmarkEnd w:id="2"/>
    </w:p>
    <w:p w14:paraId="57BF2E48" w14:textId="77777777" w:rsidR="00F13E9B" w:rsidRDefault="00013C4A">
      <w:pPr>
        <w:rPr>
          <w:rFonts w:ascii="Arial Narrow" w:eastAsia="Arial Narrow" w:hAnsi="Arial Narrow" w:cs="Arial Narrow"/>
          <w:sz w:val="22"/>
          <w:szCs w:val="22"/>
        </w:rPr>
      </w:pPr>
      <w:r>
        <w:rPr>
          <w:rFonts w:ascii="Arial Narrow" w:eastAsia="Arial Narrow" w:hAnsi="Arial Narrow" w:cs="Arial Narrow"/>
          <w:sz w:val="22"/>
          <w:szCs w:val="22"/>
        </w:rPr>
        <w:t>Evaluar las solicitudes de prospección y exploración de aguas subterráneas presentadas en el marco del Decreto 1076 de 2015, con el fin de determinar la viabilidad jurídica y técnica del otorgamiento o negación de la solicitud.</w:t>
      </w:r>
    </w:p>
    <w:p w14:paraId="5C5F5F64"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3" w:name="_Toc153865051"/>
      <w:r>
        <w:rPr>
          <w:rFonts w:ascii="Arial Narrow" w:eastAsia="Arial Narrow" w:hAnsi="Arial Narrow" w:cs="Arial Narrow"/>
          <w:sz w:val="22"/>
          <w:szCs w:val="22"/>
        </w:rPr>
        <w:t>ALCANCE</w:t>
      </w:r>
      <w:bookmarkEnd w:id="3"/>
    </w:p>
    <w:p w14:paraId="51DB53FF" w14:textId="77777777" w:rsidR="00F13E9B" w:rsidRDefault="00013C4A">
      <w:pPr>
        <w:jc w:val="both"/>
        <w:rPr>
          <w:rFonts w:ascii="Arial Narrow" w:eastAsia="Arial Narrow" w:hAnsi="Arial Narrow" w:cs="Arial Narrow"/>
          <w:sz w:val="22"/>
          <w:szCs w:val="22"/>
        </w:rPr>
      </w:pPr>
      <w:r>
        <w:rPr>
          <w:rFonts w:ascii="Arial Narrow" w:eastAsia="Arial Narrow" w:hAnsi="Arial Narrow" w:cs="Arial Narrow"/>
          <w:sz w:val="22"/>
          <w:szCs w:val="22"/>
        </w:rPr>
        <w:t>Comienza con el Auto de Inicio y finaliza con la Resolución que otorga o niega el permiso. Aplica para la Subdirección de Gestión y Manejo - Grupo de Evaluación y Tramites Ambientales, Grupo de Gestión del Conocimiento e Innovación, Direcciones Territoriales y Áreas Protegidas.</w:t>
      </w:r>
    </w:p>
    <w:p w14:paraId="66324137"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4" w:name="_Toc153865052"/>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f3"/>
        <w:tblW w:w="9397" w:type="dxa"/>
        <w:tblInd w:w="0" w:type="dxa"/>
        <w:tblLayout w:type="fixed"/>
        <w:tblLook w:val="0400" w:firstRow="0" w:lastRow="0" w:firstColumn="0" w:lastColumn="0" w:noHBand="0" w:noVBand="1"/>
      </w:tblPr>
      <w:tblGrid>
        <w:gridCol w:w="1983"/>
        <w:gridCol w:w="7414"/>
      </w:tblGrid>
      <w:tr w:rsidR="00F13E9B" w14:paraId="2ECE5B58" w14:textId="77777777">
        <w:tc>
          <w:tcPr>
            <w:tcW w:w="1983" w:type="dxa"/>
            <w:shd w:val="clear" w:color="auto" w:fill="auto"/>
          </w:tcPr>
          <w:p w14:paraId="30FCC42E"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414" w:type="dxa"/>
          </w:tcPr>
          <w:p w14:paraId="6BFEF372" w14:textId="77777777" w:rsidR="00F13E9B" w:rsidRDefault="00013C4A">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Manifestación unilateral de la voluntad administrativa de la Unidad de Parques Nacionales Naturales, pueden ser generales cuando se dirigen al público en general o pueden ser particulares cuando van dirigidas a una persona natural o jurídica en especial. </w:t>
            </w:r>
          </w:p>
        </w:tc>
      </w:tr>
      <w:tr w:rsidR="00F13E9B" w14:paraId="5B45FB05" w14:textId="77777777">
        <w:tc>
          <w:tcPr>
            <w:tcW w:w="1983" w:type="dxa"/>
            <w:shd w:val="clear" w:color="auto" w:fill="auto"/>
          </w:tcPr>
          <w:p w14:paraId="3D930D6B"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Aguas de uso público</w:t>
            </w:r>
          </w:p>
        </w:tc>
        <w:tc>
          <w:tcPr>
            <w:tcW w:w="7414" w:type="dxa"/>
          </w:tcPr>
          <w:p w14:paraId="4D76A287"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Son todas aquellas que nacen y no mueren en un mismo predio. </w:t>
            </w:r>
          </w:p>
        </w:tc>
      </w:tr>
      <w:tr w:rsidR="00F13E9B" w14:paraId="53BC36DD" w14:textId="77777777">
        <w:tc>
          <w:tcPr>
            <w:tcW w:w="1983" w:type="dxa"/>
            <w:shd w:val="clear" w:color="auto" w:fill="auto"/>
          </w:tcPr>
          <w:p w14:paraId="26BBD0D3"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Agua Subterránea</w:t>
            </w:r>
          </w:p>
        </w:tc>
        <w:tc>
          <w:tcPr>
            <w:tcW w:w="7414" w:type="dxa"/>
          </w:tcPr>
          <w:p w14:paraId="0E46F89C"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Representa una fracción importante de la masa de agua presente en los continentes, y se aloja en los acuíferos bajo la superficie de la Tierra.</w:t>
            </w:r>
          </w:p>
        </w:tc>
      </w:tr>
      <w:tr w:rsidR="00F13E9B" w14:paraId="7E4A9556" w14:textId="77777777">
        <w:tc>
          <w:tcPr>
            <w:tcW w:w="1983" w:type="dxa"/>
            <w:shd w:val="clear" w:color="auto" w:fill="auto"/>
          </w:tcPr>
          <w:p w14:paraId="76918CFB"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Auto de inicio</w:t>
            </w:r>
          </w:p>
        </w:tc>
        <w:tc>
          <w:tcPr>
            <w:tcW w:w="7414" w:type="dxa"/>
          </w:tcPr>
          <w:p w14:paraId="48DA6B13"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por el cual se le da inicio oficial y legal a un tramite</w:t>
            </w:r>
          </w:p>
        </w:tc>
      </w:tr>
      <w:tr w:rsidR="00F13E9B" w14:paraId="356D4DC9" w14:textId="77777777">
        <w:tc>
          <w:tcPr>
            <w:tcW w:w="1983" w:type="dxa"/>
            <w:shd w:val="clear" w:color="auto" w:fill="auto"/>
          </w:tcPr>
          <w:p w14:paraId="0E4FF17E"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2BF01BF5"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Documento que presenta los resultados de la evaluación técnica ambiental y define la viabilidad del aprovechamiento del recurso hídrico.</w:t>
            </w:r>
          </w:p>
        </w:tc>
      </w:tr>
      <w:tr w:rsidR="00F13E9B" w14:paraId="586159F3" w14:textId="77777777">
        <w:tc>
          <w:tcPr>
            <w:tcW w:w="1983" w:type="dxa"/>
            <w:shd w:val="clear" w:color="auto" w:fill="auto"/>
          </w:tcPr>
          <w:p w14:paraId="3D4DF24F"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725595D1"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F13E9B" w14:paraId="3C566902" w14:textId="77777777">
        <w:tc>
          <w:tcPr>
            <w:tcW w:w="1983" w:type="dxa"/>
            <w:shd w:val="clear" w:color="auto" w:fill="auto"/>
          </w:tcPr>
          <w:p w14:paraId="29C4B631"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Exploración</w:t>
            </w:r>
          </w:p>
        </w:tc>
        <w:tc>
          <w:tcPr>
            <w:tcW w:w="7414" w:type="dxa"/>
          </w:tcPr>
          <w:p w14:paraId="7A8E3363"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Conjunto de trabajos de investigación que permiten la localización de acuíferos o embalses subterráneos de los que se puede obtener agua en cantidad y calidad adecuada para un determinado fin.</w:t>
            </w:r>
          </w:p>
        </w:tc>
      </w:tr>
      <w:tr w:rsidR="00F13E9B" w14:paraId="42778F5E" w14:textId="77777777">
        <w:tc>
          <w:tcPr>
            <w:tcW w:w="1983" w:type="dxa"/>
            <w:shd w:val="clear" w:color="auto" w:fill="auto"/>
          </w:tcPr>
          <w:p w14:paraId="5A0737EF"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GGCI</w:t>
            </w:r>
          </w:p>
        </w:tc>
        <w:tc>
          <w:tcPr>
            <w:tcW w:w="7414" w:type="dxa"/>
          </w:tcPr>
          <w:p w14:paraId="61F9AD3B"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e Innovación</w:t>
            </w:r>
          </w:p>
        </w:tc>
      </w:tr>
      <w:tr w:rsidR="00F13E9B" w14:paraId="2680ECD5" w14:textId="77777777">
        <w:tc>
          <w:tcPr>
            <w:tcW w:w="1983" w:type="dxa"/>
            <w:shd w:val="clear" w:color="auto" w:fill="auto"/>
          </w:tcPr>
          <w:p w14:paraId="7FC3E84E"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GTEA</w:t>
            </w:r>
          </w:p>
        </w:tc>
        <w:tc>
          <w:tcPr>
            <w:tcW w:w="7414" w:type="dxa"/>
          </w:tcPr>
          <w:p w14:paraId="19B3EC67"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F13E9B" w14:paraId="1D05C3CA" w14:textId="77777777">
        <w:tc>
          <w:tcPr>
            <w:tcW w:w="1983" w:type="dxa"/>
            <w:shd w:val="clear" w:color="auto" w:fill="auto"/>
          </w:tcPr>
          <w:p w14:paraId="3B0A70CF"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Prospección</w:t>
            </w:r>
          </w:p>
        </w:tc>
        <w:tc>
          <w:tcPr>
            <w:tcW w:w="7414" w:type="dxa"/>
          </w:tcPr>
          <w:p w14:paraId="1A968F57"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 la actividad de perforación de prueba en busca de agua subterránea con miras a su posterior aprovechamiento en un determinado terreno.</w:t>
            </w:r>
          </w:p>
        </w:tc>
      </w:tr>
      <w:tr w:rsidR="00F13E9B" w14:paraId="598F7956" w14:textId="77777777">
        <w:tc>
          <w:tcPr>
            <w:tcW w:w="1983" w:type="dxa"/>
            <w:shd w:val="clear" w:color="auto" w:fill="auto"/>
          </w:tcPr>
          <w:p w14:paraId="0134E54B" w14:textId="77777777" w:rsidR="00F13E9B" w:rsidRDefault="00013C4A">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Resolución de aprobación</w:t>
            </w:r>
          </w:p>
        </w:tc>
        <w:tc>
          <w:tcPr>
            <w:tcW w:w="7414" w:type="dxa"/>
          </w:tcPr>
          <w:p w14:paraId="654D179B"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motivado por el cual se oficializa la viabilidad de la solicitud</w:t>
            </w:r>
          </w:p>
        </w:tc>
      </w:tr>
      <w:tr w:rsidR="00F13E9B" w14:paraId="31C1FC57" w14:textId="77777777">
        <w:tc>
          <w:tcPr>
            <w:tcW w:w="1983" w:type="dxa"/>
            <w:shd w:val="clear" w:color="auto" w:fill="auto"/>
          </w:tcPr>
          <w:p w14:paraId="702ED05A" w14:textId="77777777" w:rsidR="00F13E9B" w:rsidRDefault="00013C4A">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Resolución de negación</w:t>
            </w:r>
          </w:p>
        </w:tc>
        <w:tc>
          <w:tcPr>
            <w:tcW w:w="7414" w:type="dxa"/>
          </w:tcPr>
          <w:p w14:paraId="4EFBED0D" w14:textId="77777777" w:rsidR="00F13E9B" w:rsidRDefault="00013C4A">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motivado por el cual se oficializa la no viabilidad de la solicitud.</w:t>
            </w:r>
          </w:p>
        </w:tc>
      </w:tr>
    </w:tbl>
    <w:p w14:paraId="79FA6FAB" w14:textId="77777777" w:rsidR="00F13E9B" w:rsidRDefault="00F13E9B">
      <w:pPr>
        <w:jc w:val="both"/>
        <w:rPr>
          <w:rFonts w:ascii="Arial Narrow" w:eastAsia="Arial Narrow" w:hAnsi="Arial Narrow" w:cs="Arial Narrow"/>
          <w:sz w:val="22"/>
          <w:szCs w:val="22"/>
        </w:rPr>
      </w:pPr>
    </w:p>
    <w:p w14:paraId="179AD9B3"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5" w:name="_Toc153865053"/>
      <w:r>
        <w:rPr>
          <w:rFonts w:ascii="Arial Narrow" w:eastAsia="Arial Narrow" w:hAnsi="Arial Narrow" w:cs="Arial Narrow"/>
          <w:sz w:val="22"/>
          <w:szCs w:val="22"/>
        </w:rPr>
        <w:t>NORMAS LEGALES</w:t>
      </w:r>
      <w:bookmarkEnd w:id="5"/>
    </w:p>
    <w:p w14:paraId="2A9E7521"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1C00494F"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1437 de 2011: Por la cual se expide el Código de Procedimiento Administrativo y de lo Contencioso Administrativo.</w:t>
      </w:r>
    </w:p>
    <w:p w14:paraId="520918C4"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2811 de 1974: Por el cual se dicta el Código de Recursos Naturales Renovables y de protección al Medio Ambiente.</w:t>
      </w:r>
    </w:p>
    <w:p w14:paraId="4207F277"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1076 de 2015: Decreto Único del Sector Ambiental (Artículos 2.2.3.2.16.4. y siguientes).</w:t>
      </w:r>
    </w:p>
    <w:p w14:paraId="45EDA236"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2202 de 2006: Por la cual se adoptan los formatos Únicos Nacionales de Solicitud de trámites ambientales.</w:t>
      </w:r>
    </w:p>
    <w:p w14:paraId="4874C96F"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321 de 2015: Por la cual se fijan las tarifas para el cobro de los servicios de Evaluación y Seguimiento de permisos, concesiones, autorizaciones y demás instrumentos de control y manejo ambiental.</w:t>
      </w:r>
    </w:p>
    <w:p w14:paraId="43607CAB"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6" w:name="_Toc153865054"/>
      <w:r>
        <w:rPr>
          <w:rFonts w:ascii="Arial Narrow" w:eastAsia="Arial Narrow" w:hAnsi="Arial Narrow" w:cs="Arial Narrow"/>
          <w:sz w:val="22"/>
          <w:szCs w:val="22"/>
        </w:rPr>
        <w:t>NORMAS TÉCNICAS</w:t>
      </w:r>
      <w:bookmarkEnd w:id="6"/>
      <w:r>
        <w:rPr>
          <w:rFonts w:ascii="Arial Narrow" w:eastAsia="Arial Narrow" w:hAnsi="Arial Narrow" w:cs="Arial Narrow"/>
          <w:sz w:val="22"/>
          <w:szCs w:val="22"/>
        </w:rPr>
        <w:t xml:space="preserve"> </w:t>
      </w:r>
    </w:p>
    <w:p w14:paraId="679B81B0" w14:textId="77777777" w:rsidR="00F13E9B" w:rsidRDefault="00013C4A">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aplica.</w:t>
      </w:r>
    </w:p>
    <w:p w14:paraId="53CB2769"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7" w:name="_Toc153865055"/>
      <w:r>
        <w:rPr>
          <w:rFonts w:ascii="Arial Narrow" w:eastAsia="Arial Narrow" w:hAnsi="Arial Narrow" w:cs="Arial Narrow"/>
          <w:sz w:val="22"/>
          <w:szCs w:val="22"/>
        </w:rPr>
        <w:t>LINEAMIENTOS GENERALES</w:t>
      </w:r>
      <w:bookmarkEnd w:id="7"/>
      <w:r>
        <w:rPr>
          <w:rFonts w:ascii="Arial Narrow" w:eastAsia="Arial Narrow" w:hAnsi="Arial Narrow" w:cs="Arial Narrow"/>
          <w:sz w:val="22"/>
          <w:szCs w:val="22"/>
        </w:rPr>
        <w:t xml:space="preserve"> </w:t>
      </w:r>
    </w:p>
    <w:p w14:paraId="33B3C541" w14:textId="77777777" w:rsidR="00F13E9B" w:rsidRDefault="00013C4A">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12A32DDA"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8" w:name="_Toc153865056"/>
      <w:r>
        <w:rPr>
          <w:rFonts w:ascii="Arial Narrow" w:eastAsia="Arial Narrow" w:hAnsi="Arial Narrow" w:cs="Arial Narrow"/>
          <w:sz w:val="22"/>
          <w:szCs w:val="22"/>
        </w:rPr>
        <w:t>FORMATOS, REGISTROS O REPORTES</w:t>
      </w:r>
      <w:bookmarkEnd w:id="8"/>
    </w:p>
    <w:p w14:paraId="1922B281"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Concepto técnico </w:t>
      </w:r>
    </w:p>
    <w:p w14:paraId="6326BC14"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Acta de notificación personal </w:t>
      </w:r>
    </w:p>
    <w:p w14:paraId="600A3477" w14:textId="77777777" w:rsidR="00F13E9B" w:rsidRDefault="00013C4A">
      <w:pPr>
        <w:numPr>
          <w:ilvl w:val="0"/>
          <w:numId w:val="3"/>
        </w:numPr>
        <w:pBdr>
          <w:top w:val="nil"/>
          <w:left w:val="nil"/>
          <w:bottom w:val="nil"/>
          <w:right w:val="nil"/>
          <w:between w:val="nil"/>
        </w:pBdr>
        <w:spacing w:before="140" w:after="14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Notificación por aviso </w:t>
      </w:r>
    </w:p>
    <w:p w14:paraId="028B93F9"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9" w:name="_Toc153865057"/>
      <w:r>
        <w:rPr>
          <w:rFonts w:ascii="Arial Narrow" w:eastAsia="Arial Narrow" w:hAnsi="Arial Narrow" w:cs="Arial Narrow"/>
          <w:sz w:val="22"/>
          <w:szCs w:val="22"/>
        </w:rPr>
        <w:lastRenderedPageBreak/>
        <w:t>PROCEDIMIENTO PASO A PASO</w:t>
      </w:r>
      <w:bookmarkEnd w:id="9"/>
      <w:r>
        <w:rPr>
          <w:rFonts w:ascii="Arial Narrow" w:eastAsia="Arial Narrow" w:hAnsi="Arial Narrow" w:cs="Arial Narrow"/>
          <w:sz w:val="22"/>
          <w:szCs w:val="22"/>
        </w:rPr>
        <w:t xml:space="preserve"> </w:t>
      </w:r>
    </w:p>
    <w:tbl>
      <w:tblPr>
        <w:tblStyle w:val="af4"/>
        <w:tblW w:w="9352" w:type="dxa"/>
        <w:tblInd w:w="75" w:type="dxa"/>
        <w:tblLayout w:type="fixed"/>
        <w:tblLook w:val="0400" w:firstRow="0" w:lastRow="0" w:firstColumn="0" w:lastColumn="0" w:noHBand="0" w:noVBand="1"/>
      </w:tblPr>
      <w:tblGrid>
        <w:gridCol w:w="487"/>
        <w:gridCol w:w="3420"/>
        <w:gridCol w:w="1688"/>
        <w:gridCol w:w="2127"/>
        <w:gridCol w:w="1630"/>
      </w:tblGrid>
      <w:tr w:rsidR="00F13E9B" w14:paraId="4CCA351B" w14:textId="7777777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FB869A9" w14:textId="77777777" w:rsidR="00F13E9B" w:rsidRDefault="00013C4A">
            <w:pPr>
              <w:spacing w:before="120" w:after="120"/>
              <w:jc w:val="center"/>
              <w:rPr>
                <w:rFonts w:ascii="Arial Narrow" w:eastAsia="Arial Narrow" w:hAnsi="Arial Narrow" w:cs="Arial Narrow"/>
                <w:b/>
                <w:sz w:val="20"/>
                <w:szCs w:val="20"/>
              </w:rPr>
            </w:pPr>
            <w:bookmarkStart w:id="10" w:name="_heading=h.4d34og8" w:colFirst="0" w:colLast="0"/>
            <w:bookmarkEnd w:id="10"/>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20BA46B3" w14:textId="77777777" w:rsidR="00F13E9B" w:rsidRDefault="00013C4A">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25370464" w14:textId="77777777" w:rsidR="00F13E9B" w:rsidRDefault="00013C4A">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4AB02F1E" w14:textId="77777777" w:rsidR="00F13E9B" w:rsidRDefault="00013C4A">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640C73FA" w14:textId="77777777" w:rsidR="00F13E9B" w:rsidRDefault="00013C4A">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F13E9B" w14:paraId="4870A487" w14:textId="77777777">
        <w:trPr>
          <w:trHeight w:val="181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04642D3F"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12287499"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auto que inicia el trámite y ordena la práctica de la visita con la debida notificación del acto administrativo, empleando el formato según aplique Acta de notificación personal o Notificación por aviso. </w:t>
            </w:r>
          </w:p>
        </w:tc>
        <w:tc>
          <w:tcPr>
            <w:tcW w:w="1688" w:type="dxa"/>
            <w:tcBorders>
              <w:top w:val="nil"/>
              <w:left w:val="nil"/>
              <w:bottom w:val="single" w:sz="4" w:space="0" w:color="000000"/>
              <w:right w:val="single" w:sz="4" w:space="0" w:color="000000"/>
            </w:tcBorders>
            <w:shd w:val="clear" w:color="auto" w:fill="auto"/>
            <w:vAlign w:val="center"/>
          </w:tcPr>
          <w:p w14:paraId="350DD997"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nil"/>
              <w:left w:val="nil"/>
              <w:bottom w:val="single" w:sz="4" w:space="0" w:color="000000"/>
              <w:right w:val="single" w:sz="4" w:space="0" w:color="000000"/>
            </w:tcBorders>
            <w:shd w:val="clear" w:color="auto" w:fill="auto"/>
            <w:vAlign w:val="center"/>
          </w:tcPr>
          <w:p w14:paraId="6F613EAF" w14:textId="77777777" w:rsidR="00F13E9B" w:rsidRDefault="00013C4A">
            <w:pPr>
              <w:spacing w:before="120" w:after="120"/>
              <w:rPr>
                <w:rFonts w:ascii="Arial Narrow" w:eastAsia="Arial Narrow" w:hAnsi="Arial Narrow" w:cs="Arial Narrow"/>
                <w:i/>
                <w:sz w:val="20"/>
                <w:szCs w:val="20"/>
              </w:rPr>
            </w:pPr>
            <w:r>
              <w:rPr>
                <w:rFonts w:ascii="Arial Narrow" w:eastAsia="Arial Narrow" w:hAnsi="Arial Narrow" w:cs="Arial Narrow"/>
                <w:sz w:val="20"/>
                <w:szCs w:val="20"/>
              </w:rPr>
              <w:t>Acto administrativo firmado, fechado y notificado</w:t>
            </w:r>
          </w:p>
        </w:tc>
        <w:tc>
          <w:tcPr>
            <w:tcW w:w="1630" w:type="dxa"/>
            <w:tcBorders>
              <w:top w:val="nil"/>
              <w:left w:val="nil"/>
              <w:bottom w:val="single" w:sz="4" w:space="0" w:color="000000"/>
              <w:right w:val="single" w:sz="4" w:space="0" w:color="000000"/>
            </w:tcBorders>
            <w:vAlign w:val="center"/>
          </w:tcPr>
          <w:p w14:paraId="00AEAEB2"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la documentación</w:t>
            </w:r>
          </w:p>
        </w:tc>
      </w:tr>
      <w:tr w:rsidR="00F13E9B" w14:paraId="2F33C6E0"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49BEC"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99C" w14:textId="77777777" w:rsidR="00F13E9B" w:rsidRDefault="00013C4A">
            <w:pPr>
              <w:spacing w:before="120" w:after="120"/>
              <w:jc w:val="both"/>
              <w:rPr>
                <w:color w:val="000000"/>
                <w:sz w:val="20"/>
                <w:szCs w:val="20"/>
              </w:rPr>
            </w:pPr>
            <w:r>
              <w:rPr>
                <w:rFonts w:ascii="Arial Narrow" w:eastAsia="Arial Narrow" w:hAnsi="Arial Narrow" w:cs="Arial Narrow"/>
                <w:sz w:val="20"/>
                <w:szCs w:val="20"/>
              </w:rPr>
              <w:t>Realizar la visita ordenada en el Auto de inicio.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C3D73"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Dirección Territorial - Áreas del Sistema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2E35"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119F8165"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F13E9B" w14:paraId="151AE012" w14:textId="77777777">
        <w:trPr>
          <w:trHeight w:val="204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14847"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C1E1"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En caso de ser necesario, por precisión del punto de captación, solicitar mediante memorando al Grupo de Gestión del Conocimiento e Innovación la especialización de la coordenada.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0B8C5"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23D9"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Memorando de solicitud de concepto técnico de verificación de coordenadas remitido por el sistema documental de la entidad</w:t>
            </w:r>
          </w:p>
        </w:tc>
        <w:tc>
          <w:tcPr>
            <w:tcW w:w="1630" w:type="dxa"/>
            <w:tcBorders>
              <w:top w:val="single" w:sz="4" w:space="0" w:color="000000"/>
              <w:left w:val="single" w:sz="4" w:space="0" w:color="000000"/>
              <w:bottom w:val="single" w:sz="4" w:space="0" w:color="000000"/>
              <w:right w:val="single" w:sz="4" w:space="0" w:color="000000"/>
            </w:tcBorders>
            <w:vAlign w:val="center"/>
          </w:tcPr>
          <w:p w14:paraId="1B152436"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F13E9B" w14:paraId="583C1399" w14:textId="77777777">
        <w:trPr>
          <w:trHeight w:val="204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CBB6"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CF4C" w14:textId="77777777" w:rsidR="00F13E9B" w:rsidRDefault="00013C4A">
            <w:pPr>
              <w:numPr>
                <w:ilvl w:val="0"/>
                <w:numId w:val="1"/>
              </w:numPr>
              <w:spacing w:before="120" w:after="120"/>
              <w:ind w:left="227" w:hanging="170"/>
              <w:jc w:val="both"/>
              <w:rPr>
                <w:rFonts w:ascii="Arial Narrow" w:eastAsia="Arial Narrow" w:hAnsi="Arial Narrow" w:cs="Arial Narrow"/>
                <w:color w:val="000000"/>
                <w:sz w:val="20"/>
                <w:szCs w:val="20"/>
              </w:rPr>
            </w:pPr>
            <w:r>
              <w:rPr>
                <w:rFonts w:ascii="Arial Narrow" w:eastAsia="Arial Narrow" w:hAnsi="Arial Narrow" w:cs="Arial Narrow"/>
                <w:sz w:val="20"/>
                <w:szCs w:val="20"/>
              </w:rPr>
              <w:t>Emitir concepto de la localización del punto en el Área del sistema y remitirlo al GTEA para verificar traslape con la zonificación del manejo, mediante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69B4"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0917"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Concepto técnico generado y remitido al GTEA.</w:t>
            </w:r>
          </w:p>
        </w:tc>
        <w:tc>
          <w:tcPr>
            <w:tcW w:w="1630" w:type="dxa"/>
            <w:tcBorders>
              <w:top w:val="single" w:sz="4" w:space="0" w:color="000000"/>
              <w:left w:val="single" w:sz="4" w:space="0" w:color="000000"/>
              <w:bottom w:val="single" w:sz="4" w:space="0" w:color="000000"/>
              <w:right w:val="single" w:sz="4" w:space="0" w:color="000000"/>
            </w:tcBorders>
            <w:vAlign w:val="center"/>
          </w:tcPr>
          <w:p w14:paraId="0A938403"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F13E9B" w14:paraId="4970CF14"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8AA61" w14:textId="77777777" w:rsidR="00F13E9B" w:rsidRDefault="00013C4A">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FDE5"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 solicitud requiere información adicional?</w:t>
            </w:r>
          </w:p>
          <w:p w14:paraId="02E4E594"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Solicitar los documentos que hacen falta a través de acto administrativo, indicando la fecha máxima para aportar la documentación, empleando el formato según aplique: Acta de notificación personal o Notificación por aviso.</w:t>
            </w:r>
          </w:p>
          <w:p w14:paraId="224818C3"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Se continua con la actividad No. 8.</w:t>
            </w:r>
          </w:p>
          <w:p w14:paraId="42EABAF2" w14:textId="77777777" w:rsidR="00F13E9B" w:rsidRDefault="00F13E9B">
            <w:pPr>
              <w:spacing w:before="120" w:after="120"/>
              <w:jc w:val="both"/>
              <w:rPr>
                <w:rFonts w:ascii="Arial Narrow" w:eastAsia="Arial Narrow" w:hAnsi="Arial Narrow" w:cs="Arial Narrow"/>
                <w:b/>
                <w:sz w:val="20"/>
                <w:szCs w:val="20"/>
              </w:rPr>
            </w:pPr>
          </w:p>
          <w:p w14:paraId="4212B90B"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De acuerdo a lo ordenado por el artículo 17 de la Ley 1437 de 2011, para las solicitudes presentadas a partir del 2 de julio </w:t>
            </w:r>
            <w:r>
              <w:rPr>
                <w:rFonts w:ascii="Arial Narrow" w:eastAsia="Arial Narrow" w:hAnsi="Arial Narrow" w:cs="Arial Narrow"/>
                <w:sz w:val="20"/>
                <w:szCs w:val="20"/>
              </w:rPr>
              <w:lastRenderedPageBreak/>
              <w:t xml:space="preserve">de 2012, el plazo para la solicitud de información adicional será dentro de los 10 días siguientes a la fecha de radicación de la documentación para que esta sea completada en un término máximo de un mes. </w:t>
            </w:r>
          </w:p>
          <w:p w14:paraId="6351C0BF" w14:textId="77777777" w:rsidR="00F13E9B" w:rsidRDefault="00F13E9B">
            <w:pPr>
              <w:spacing w:before="120" w:after="120"/>
              <w:jc w:val="both"/>
              <w:rPr>
                <w:rFonts w:ascii="Arial Narrow" w:eastAsia="Arial Narrow" w:hAnsi="Arial Narrow" w:cs="Arial Narrow"/>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52DA"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4B83"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Auto de requerimiento firmado, numerado y notificado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3CD4C405"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El plazo para la solicitud de información adicional será dentro de los 10 días siguientes a la fecha de radicación de la documentación</w:t>
            </w:r>
          </w:p>
        </w:tc>
      </w:tr>
      <w:tr w:rsidR="00F13E9B" w14:paraId="71CEF4B3"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51540" w14:textId="77777777" w:rsidR="00F13E9B" w:rsidRDefault="00013C4A">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E9B4"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aportaron los documentos solicitados? </w:t>
            </w:r>
          </w:p>
          <w:p w14:paraId="062E73BD"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número 7.</w:t>
            </w:r>
          </w:p>
          <w:p w14:paraId="3F1AC8DE"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número 10.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B0C3"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1E096"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7DD1B9B9"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F13E9B" w14:paraId="2520C7C0"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E7908" w14:textId="77777777" w:rsidR="00F13E9B" w:rsidRDefault="00013C4A">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E114"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concepto técnico, empleando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8672"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A9682"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30DCE3ED"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10 días a partir del recibo de la información adicional cuando se ha solicitado o a partir del recibo de certificación de localización.</w:t>
            </w:r>
          </w:p>
        </w:tc>
      </w:tr>
      <w:tr w:rsidR="00F13E9B" w14:paraId="756C9ACE"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E39E"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8208D"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Acto Administrativo que otorga o niega el permiso, y notificar en el formato según aplique: Acta de notificación personal o Notificación por aviso.</w:t>
            </w:r>
          </w:p>
          <w:p w14:paraId="3385C0AD" w14:textId="77777777" w:rsidR="00F13E9B" w:rsidRDefault="00F13E9B">
            <w:pPr>
              <w:spacing w:before="120" w:after="120"/>
              <w:jc w:val="both"/>
              <w:rPr>
                <w:rFonts w:ascii="Arial Narrow" w:eastAsia="Arial Narrow" w:hAnsi="Arial Narrow" w:cs="Arial Narrow"/>
                <w:b/>
                <w:sz w:val="20"/>
                <w:szCs w:val="20"/>
              </w:rPr>
            </w:pPr>
          </w:p>
          <w:p w14:paraId="2D3D85A4"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Contra el acto administrativo procede el recurso de reposición el cual deberá ser interpuesto en un término de 10 días, conforme a lo establecido en el artículo 76 de la Ley 1437 de 2011.</w:t>
            </w:r>
          </w:p>
          <w:p w14:paraId="2C3CA16C" w14:textId="77777777" w:rsidR="00F13E9B" w:rsidRDefault="00F13E9B">
            <w:pPr>
              <w:spacing w:before="120" w:after="120"/>
              <w:jc w:val="both"/>
              <w:rPr>
                <w:rFonts w:ascii="Arial Narrow" w:eastAsia="Arial Narrow" w:hAnsi="Arial Narrow" w:cs="Arial Narrow"/>
                <w:b/>
                <w:sz w:val="20"/>
                <w:szCs w:val="20"/>
              </w:rPr>
            </w:pPr>
          </w:p>
          <w:p w14:paraId="2D097298"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notificación de acuerdo a lo ordenado por los artículos 67 a 69 de Ley 1437 de 2011. Es decir, de manera personal y en subsidio la notificación por aviso.</w:t>
            </w:r>
          </w:p>
          <w:p w14:paraId="5E7DFA33" w14:textId="77777777" w:rsidR="00F13E9B" w:rsidRDefault="00F13E9B">
            <w:pPr>
              <w:spacing w:before="120" w:after="120"/>
              <w:jc w:val="both"/>
              <w:rPr>
                <w:rFonts w:ascii="Arial Narrow" w:eastAsia="Arial Narrow" w:hAnsi="Arial Narrow" w:cs="Arial Narrow"/>
                <w:b/>
                <w:sz w:val="20"/>
                <w:szCs w:val="20"/>
              </w:rPr>
            </w:pPr>
          </w:p>
          <w:p w14:paraId="21F44D39"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Una vez se encuentre en firme el acto administrativo que otorga el permiso se comunicará la decisión a las Direcciones Territoriales y Áreas Protegidas en donde se esté solicitando el permiso.</w:t>
            </w:r>
          </w:p>
          <w:p w14:paraId="34433D41" w14:textId="77777777" w:rsidR="00F13E9B" w:rsidRDefault="00F13E9B">
            <w:pPr>
              <w:spacing w:before="120" w:after="120"/>
              <w:jc w:val="both"/>
              <w:rPr>
                <w:rFonts w:ascii="Arial Narrow" w:eastAsia="Arial Narrow" w:hAnsi="Arial Narrow" w:cs="Arial Narrow"/>
                <w:b/>
                <w:sz w:val="20"/>
                <w:szCs w:val="20"/>
              </w:rPr>
            </w:pPr>
          </w:p>
          <w:p w14:paraId="1291AD46"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Una vez se encuentre en firme el acto administrativo que otorga el permiso, se comunicará a la Subdirección Administrativa y Financiera – Grupo de Gestión Financiera, adjuntando copia digital del acto administrativo, para que desde allí se dé inicio a las acciones de cobro persuasivo, conforme lo señala la actividad N° 1 del procedimiento de Gestión de Cartera. 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14EB"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67F2"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firmado, numerado, notificado, comunicado y publicado.  </w:t>
            </w:r>
          </w:p>
        </w:tc>
        <w:tc>
          <w:tcPr>
            <w:tcW w:w="1630" w:type="dxa"/>
            <w:tcBorders>
              <w:top w:val="single" w:sz="4" w:space="0" w:color="000000"/>
              <w:left w:val="single" w:sz="4" w:space="0" w:color="000000"/>
              <w:bottom w:val="single" w:sz="4" w:space="0" w:color="000000"/>
              <w:right w:val="single" w:sz="4" w:space="0" w:color="000000"/>
            </w:tcBorders>
            <w:vAlign w:val="center"/>
          </w:tcPr>
          <w:p w14:paraId="54AC6A08"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comunicación y publicación esta etapa.</w:t>
            </w:r>
          </w:p>
        </w:tc>
      </w:tr>
      <w:tr w:rsidR="00F13E9B" w14:paraId="2350D923" w14:textId="77777777">
        <w:trPr>
          <w:trHeight w:val="170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BD23C"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D3C4F" w14:textId="77777777" w:rsidR="00F13E9B" w:rsidRDefault="00013C4A">
            <w:pPr>
              <w:numPr>
                <w:ilvl w:val="0"/>
                <w:numId w:val="4"/>
              </w:numPr>
              <w:pBdr>
                <w:top w:val="nil"/>
                <w:left w:val="nil"/>
                <w:bottom w:val="nil"/>
                <w:right w:val="nil"/>
                <w:between w:val="nil"/>
              </w:pBdr>
              <w:spacing w:before="120" w:after="120"/>
              <w:ind w:left="176" w:hanging="17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Verificar y realizar la evaluación técnica del cumplimiento de la obligación del acto administrativo, teniendo en cuenta la información diligenciada en el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8DD9"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8DEE"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5C1EC3F8"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La actividad </w:t>
            </w:r>
            <w:r>
              <w:rPr>
                <w:rFonts w:ascii="Arial Narrow" w:eastAsia="Arial Narrow" w:hAnsi="Arial Narrow" w:cs="Arial Narrow"/>
                <w:color w:val="000000"/>
                <w:sz w:val="20"/>
                <w:szCs w:val="20"/>
              </w:rPr>
              <w:t>está sujeta a las obligaciones establecidas en el acto administrativo de otorgamiento.</w:t>
            </w:r>
            <w:r>
              <w:rPr>
                <w:rFonts w:ascii="Arial Narrow" w:eastAsia="Arial Narrow" w:hAnsi="Arial Narrow" w:cs="Arial Narrow"/>
                <w:sz w:val="20"/>
                <w:szCs w:val="20"/>
              </w:rPr>
              <w:t xml:space="preserve"> </w:t>
            </w:r>
          </w:p>
        </w:tc>
      </w:tr>
      <w:tr w:rsidR="00F13E9B" w14:paraId="6A664FF8" w14:textId="77777777">
        <w:trPr>
          <w:trHeight w:val="170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D799"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F826" w14:textId="77777777" w:rsidR="00F13E9B" w:rsidRDefault="00013C4A">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Elaborar y emitir acto administrativo de archivo del trámite, e informar con el formato según aplique: Acta de notificación personal o Notificación por aviso.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B57B" w14:textId="77777777" w:rsidR="00F13E9B" w:rsidRDefault="00013C4A">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E3E9"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Acto de archivo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2232C47" w14:textId="77777777" w:rsidR="00F13E9B" w:rsidRDefault="00013C4A">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10 días a partir de la causal de archivo. </w:t>
            </w:r>
          </w:p>
        </w:tc>
      </w:tr>
    </w:tbl>
    <w:p w14:paraId="7216D56D" w14:textId="77777777" w:rsidR="00F13E9B" w:rsidRDefault="00013C4A">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1" w:name="_Toc153865058"/>
      <w:r>
        <w:rPr>
          <w:rFonts w:ascii="Arial Narrow" w:eastAsia="Arial Narrow" w:hAnsi="Arial Narrow" w:cs="Arial Narrow"/>
          <w:sz w:val="22"/>
          <w:szCs w:val="22"/>
        </w:rPr>
        <w:t>CONTROL DE CAMBIOS</w:t>
      </w:r>
      <w:bookmarkEnd w:id="11"/>
      <w:r>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134"/>
        <w:gridCol w:w="5716"/>
      </w:tblGrid>
      <w:tr w:rsidR="00F13E9B" w14:paraId="3C53ED48" w14:textId="77777777">
        <w:trPr>
          <w:tblHeader/>
          <w:jc w:val="center"/>
        </w:trPr>
        <w:tc>
          <w:tcPr>
            <w:tcW w:w="2547" w:type="dxa"/>
            <w:vAlign w:val="center"/>
          </w:tcPr>
          <w:p w14:paraId="7106ABDC"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27FBFB1A"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134" w:type="dxa"/>
            <w:vAlign w:val="center"/>
          </w:tcPr>
          <w:p w14:paraId="08DCE8BE"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716" w:type="dxa"/>
            <w:vAlign w:val="center"/>
          </w:tcPr>
          <w:p w14:paraId="1DD981C4"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F13E9B" w14:paraId="0D77A262" w14:textId="77777777">
        <w:trPr>
          <w:trHeight w:val="362"/>
          <w:jc w:val="center"/>
        </w:trPr>
        <w:tc>
          <w:tcPr>
            <w:tcW w:w="2547" w:type="dxa"/>
            <w:vAlign w:val="center"/>
          </w:tcPr>
          <w:p w14:paraId="7AC2BC05"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08/09/2022</w:t>
            </w:r>
          </w:p>
        </w:tc>
        <w:tc>
          <w:tcPr>
            <w:tcW w:w="1134" w:type="dxa"/>
            <w:vAlign w:val="center"/>
          </w:tcPr>
          <w:p w14:paraId="1BB3F5FE"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5716" w:type="dxa"/>
            <w:vAlign w:val="center"/>
          </w:tcPr>
          <w:p w14:paraId="61F0D395" w14:textId="77777777" w:rsidR="00F13E9B" w:rsidRDefault="00013C4A">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actualizaron las actividades asociadas al manejo de los cobros originados en el marco del trámite, dejando claridad de la secuencia que se debe seguir para el cobro persuasivo, gestión de cartera e inicio de cobros coactivos en caso de incumplimiento a estas obligaciones de los trámites ambientales. </w:t>
            </w:r>
            <w:r>
              <w:rPr>
                <w:rFonts w:ascii="Arial Narrow" w:eastAsia="Arial Narrow" w:hAnsi="Arial Narrow" w:cs="Arial Narrow"/>
                <w:sz w:val="20"/>
                <w:szCs w:val="20"/>
              </w:rPr>
              <w:lastRenderedPageBreak/>
              <w:t>Igualmente se actualizaron los nombres de dependencias que intervienen en el procedimiento conforme la Resolución 310 de 2021 y códigos de documentos de referencia.</w:t>
            </w:r>
          </w:p>
          <w:p w14:paraId="6EF1F1D0" w14:textId="77777777" w:rsidR="00F13E9B" w:rsidRDefault="00013C4A">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ajustaron y eliminaron las actividades del procedimiento que por manejo del trámite se consideró que era repetida</w:t>
            </w:r>
          </w:p>
          <w:p w14:paraId="52D6ADF9" w14:textId="77777777" w:rsidR="00F13E9B" w:rsidRDefault="00013C4A">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Igualmente, se ajustaron los tiempos en las actividades en el marco de la política de racionalización de trámites ambientales.</w:t>
            </w:r>
          </w:p>
          <w:p w14:paraId="10DD1B93" w14:textId="77777777" w:rsidR="00F13E9B" w:rsidRDefault="00013C4A">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de acuerdo con los lineamientos establecidos en el Instructivo vigente Elaboración, Actualización y Derogación de Documentos del Sistema de Gestión Integrado – SGI DE_IN_08, por lo cual se eliminó el flujograma del procedimiento teniendo en cuenta que ahora la adopción es opcional.</w:t>
            </w:r>
          </w:p>
        </w:tc>
      </w:tr>
      <w:tr w:rsidR="00F13E9B" w14:paraId="70D54CB5" w14:textId="77777777">
        <w:trPr>
          <w:trHeight w:val="362"/>
          <w:jc w:val="center"/>
        </w:trPr>
        <w:tc>
          <w:tcPr>
            <w:tcW w:w="2547" w:type="dxa"/>
            <w:vAlign w:val="center"/>
          </w:tcPr>
          <w:p w14:paraId="419D441F"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23/11/2023</w:t>
            </w:r>
          </w:p>
        </w:tc>
        <w:tc>
          <w:tcPr>
            <w:tcW w:w="1134" w:type="dxa"/>
            <w:vAlign w:val="center"/>
          </w:tcPr>
          <w:p w14:paraId="494B2DC8" w14:textId="77777777" w:rsidR="00F13E9B" w:rsidRDefault="00013C4A">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716" w:type="dxa"/>
            <w:vAlign w:val="center"/>
          </w:tcPr>
          <w:p w14:paraId="6428274C" w14:textId="77777777" w:rsidR="00F13E9B" w:rsidRDefault="00013C4A">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7378800C" w14:textId="77777777" w:rsidR="00F13E9B" w:rsidRDefault="00013C4A">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41ECC1CD" w14:textId="77777777" w:rsidR="00F13E9B" w:rsidRDefault="00F13E9B">
      <w:pPr>
        <w:rPr>
          <w:rFonts w:ascii="Arial Narrow" w:eastAsia="Arial Narrow" w:hAnsi="Arial Narrow" w:cs="Arial Narrow"/>
          <w:sz w:val="22"/>
          <w:szCs w:val="22"/>
        </w:rPr>
      </w:pPr>
    </w:p>
    <w:p w14:paraId="32D3ADAA" w14:textId="77777777" w:rsidR="00F13E9B" w:rsidRDefault="00F13E9B">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206"/>
        <w:gridCol w:w="1701"/>
        <w:gridCol w:w="6232"/>
      </w:tblGrid>
      <w:tr w:rsidR="00F13E9B" w14:paraId="691A2917"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DBA2493" w14:textId="77777777" w:rsidR="00F13E9B" w:rsidRDefault="00013C4A">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F13E9B" w14:paraId="6503F3DC" w14:textId="77777777">
        <w:trPr>
          <w:trHeight w:val="43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BA743C7" w14:textId="77777777" w:rsidR="00F13E9B" w:rsidRDefault="00013C4A">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4ADFFCC3"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0DF0AC05"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David Mauricio Prieto C / María Fernanda Losada V.</w:t>
            </w:r>
          </w:p>
        </w:tc>
      </w:tr>
      <w:tr w:rsidR="00F13E9B" w14:paraId="59052970"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3AF3A07"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54520917"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6A339C6E"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Contratistas Grupo de Trámites y Evaluación Ambiental - GTEA </w:t>
            </w:r>
          </w:p>
        </w:tc>
      </w:tr>
      <w:tr w:rsidR="00F13E9B" w14:paraId="5BA14C42"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61382BB"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258B1FFE"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655727DE"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F13E9B" w14:paraId="6EF1B966" w14:textId="77777777">
        <w:trPr>
          <w:trHeight w:val="43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5F76D4C" w14:textId="77777777" w:rsidR="00F13E9B" w:rsidRDefault="00013C4A">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028D6FA"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09CBEA8C"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F13E9B" w14:paraId="47A41473"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A627544"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3E398B3E"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409FA5AF"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Grupo de Trámites y Evaluación Ambiental</w:t>
            </w:r>
          </w:p>
        </w:tc>
      </w:tr>
      <w:tr w:rsidR="00F13E9B" w14:paraId="57B97812"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CB14C80"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38D0CAB4"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3CFD2D23"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F13E9B" w14:paraId="64D3623B" w14:textId="77777777">
        <w:trPr>
          <w:trHeight w:val="45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1403B03" w14:textId="77777777" w:rsidR="00F13E9B" w:rsidRDefault="00013C4A">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701" w:type="dxa"/>
            <w:tcBorders>
              <w:top w:val="single" w:sz="4" w:space="0" w:color="000000"/>
              <w:left w:val="nil"/>
              <w:right w:val="single" w:sz="4" w:space="0" w:color="000000"/>
            </w:tcBorders>
            <w:shd w:val="clear" w:color="auto" w:fill="EEECE1"/>
            <w:vAlign w:val="center"/>
          </w:tcPr>
          <w:p w14:paraId="182487DB"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232" w:type="dxa"/>
            <w:tcBorders>
              <w:top w:val="single" w:sz="4" w:space="0" w:color="000000"/>
              <w:left w:val="nil"/>
              <w:right w:val="single" w:sz="4" w:space="0" w:color="000000"/>
            </w:tcBorders>
            <w:shd w:val="clear" w:color="auto" w:fill="auto"/>
            <w:vAlign w:val="center"/>
          </w:tcPr>
          <w:p w14:paraId="4C7CA504"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F13E9B" w14:paraId="3D36122F"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C6C5670"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033CDAD6"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50A3F68B"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F13E9B" w14:paraId="17B0C7F1"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E645DD4"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4B70762A"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232" w:type="dxa"/>
            <w:tcBorders>
              <w:top w:val="single" w:sz="4" w:space="0" w:color="000000"/>
              <w:left w:val="nil"/>
              <w:bottom w:val="single" w:sz="4" w:space="0" w:color="000000"/>
              <w:right w:val="single" w:sz="4" w:space="0" w:color="000000"/>
            </w:tcBorders>
            <w:shd w:val="clear" w:color="auto" w:fill="auto"/>
            <w:vAlign w:val="center"/>
          </w:tcPr>
          <w:p w14:paraId="34721588" w14:textId="77777777" w:rsidR="00F13E9B" w:rsidRDefault="00013C4A">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07/08/2023</w:t>
            </w:r>
          </w:p>
        </w:tc>
      </w:tr>
    </w:tbl>
    <w:p w14:paraId="73F3319A" w14:textId="77777777" w:rsidR="00F13E9B" w:rsidRDefault="00F13E9B">
      <w:pPr>
        <w:tabs>
          <w:tab w:val="left" w:pos="1106"/>
        </w:tabs>
        <w:jc w:val="center"/>
        <w:rPr>
          <w:rFonts w:ascii="Arial Narrow" w:eastAsia="Arial Narrow" w:hAnsi="Arial Narrow" w:cs="Arial Narrow"/>
          <w:sz w:val="22"/>
          <w:szCs w:val="22"/>
        </w:rPr>
      </w:pPr>
    </w:p>
    <w:sectPr w:rsidR="00F13E9B">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7281A" w14:textId="77777777" w:rsidR="00B945A9" w:rsidRDefault="00B945A9">
      <w:r>
        <w:separator/>
      </w:r>
    </w:p>
  </w:endnote>
  <w:endnote w:type="continuationSeparator" w:id="0">
    <w:p w14:paraId="71EC0780" w14:textId="77777777" w:rsidR="00B945A9" w:rsidRDefault="00B9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CDFD" w14:textId="77777777" w:rsidR="00F13E9B" w:rsidRDefault="00F13E9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F4980" w14:textId="77777777" w:rsidR="00F13E9B" w:rsidRDefault="00013C4A">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7800D0">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9E9B" w14:textId="77777777" w:rsidR="00F13E9B" w:rsidRDefault="00F13E9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16C1A" w14:textId="77777777" w:rsidR="00B945A9" w:rsidRDefault="00B945A9">
      <w:r>
        <w:separator/>
      </w:r>
    </w:p>
  </w:footnote>
  <w:footnote w:type="continuationSeparator" w:id="0">
    <w:p w14:paraId="6C545DFE" w14:textId="77777777" w:rsidR="00B945A9" w:rsidRDefault="00B9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14AB" w14:textId="77777777" w:rsidR="00F13E9B" w:rsidRDefault="00F13E9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235A"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F13E9B" w14:paraId="6440BF75" w14:textId="77777777">
      <w:trPr>
        <w:trHeight w:val="567"/>
      </w:trPr>
      <w:tc>
        <w:tcPr>
          <w:tcW w:w="1418" w:type="dxa"/>
          <w:vMerge w:val="restart"/>
          <w:vAlign w:val="center"/>
        </w:tcPr>
        <w:p w14:paraId="6F88F448" w14:textId="77777777" w:rsidR="00F13E9B" w:rsidRDefault="00013C4A">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20469B31" wp14:editId="4FBC5C13">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4105E05" w14:textId="77777777" w:rsidR="00F13E9B" w:rsidRDefault="00013C4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2F3ED5D" w14:textId="77777777" w:rsidR="00F13E9B" w:rsidRDefault="00F13E9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2E5D2E3" w14:textId="77777777" w:rsidR="00F13E9B" w:rsidRDefault="00013C4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bookmarkStart w:id="12" w:name="_heading=h.3znysh7" w:colFirst="0" w:colLast="0"/>
          <w:bookmarkEnd w:id="12"/>
          <w:r>
            <w:rPr>
              <w:rFonts w:ascii="Arial Narrow" w:eastAsia="Arial Narrow" w:hAnsi="Arial Narrow" w:cs="Arial Narrow"/>
              <w:b/>
              <w:sz w:val="22"/>
              <w:szCs w:val="22"/>
            </w:rPr>
            <w:t>PERMISO DE PROSPECCIÓN Y EXPLORACIÓN DE AGUAS SUBTERRÁNEAS</w:t>
          </w:r>
        </w:p>
      </w:tc>
      <w:tc>
        <w:tcPr>
          <w:tcW w:w="2252" w:type="dxa"/>
          <w:tcBorders>
            <w:bottom w:val="single" w:sz="4" w:space="0" w:color="000000"/>
          </w:tcBorders>
          <w:vAlign w:val="center"/>
        </w:tcPr>
        <w:p w14:paraId="55D840F4" w14:textId="77777777" w:rsidR="00F13E9B" w:rsidRDefault="00013C4A">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M4-PR-14</w:t>
          </w:r>
        </w:p>
      </w:tc>
    </w:tr>
    <w:tr w:rsidR="00F13E9B" w14:paraId="5282896F" w14:textId="77777777">
      <w:trPr>
        <w:trHeight w:val="567"/>
      </w:trPr>
      <w:tc>
        <w:tcPr>
          <w:tcW w:w="1418" w:type="dxa"/>
          <w:vMerge/>
          <w:vAlign w:val="center"/>
        </w:tcPr>
        <w:p w14:paraId="22FDDE25"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004007D7"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337960C7" w14:textId="77777777" w:rsidR="00F13E9B" w:rsidRDefault="00013C4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F13E9B" w14:paraId="532B21F9" w14:textId="77777777">
      <w:trPr>
        <w:trHeight w:val="567"/>
      </w:trPr>
      <w:tc>
        <w:tcPr>
          <w:tcW w:w="1418" w:type="dxa"/>
          <w:vMerge/>
          <w:vAlign w:val="center"/>
        </w:tcPr>
        <w:p w14:paraId="74DF5910"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3768B0AD"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464EAC0C" w14:textId="440FFE39" w:rsidR="00F13E9B" w:rsidRDefault="00013C4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7800D0" w:rsidRPr="00B779B7">
            <w:rPr>
              <w:rFonts w:ascii="Arial Narrow" w:eastAsia="Arial Narrow" w:hAnsi="Arial Narrow" w:cs="Arial Narrow"/>
              <w:color w:val="000000"/>
              <w:sz w:val="20"/>
              <w:szCs w:val="20"/>
            </w:rPr>
            <w:t>19/12/2023</w:t>
          </w:r>
        </w:p>
      </w:tc>
    </w:tr>
  </w:tbl>
  <w:p w14:paraId="38C33097" w14:textId="77777777" w:rsidR="00F13E9B" w:rsidRDefault="00F13E9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91B0" w14:textId="77777777" w:rsidR="00F13E9B" w:rsidRDefault="00F13E9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F13E9B" w14:paraId="30288AE6" w14:textId="77777777">
      <w:trPr>
        <w:trHeight w:val="567"/>
      </w:trPr>
      <w:tc>
        <w:tcPr>
          <w:tcW w:w="1418" w:type="dxa"/>
          <w:vMerge w:val="restart"/>
          <w:vAlign w:val="center"/>
        </w:tcPr>
        <w:p w14:paraId="56F106FF" w14:textId="77777777" w:rsidR="00F13E9B" w:rsidRDefault="00013C4A">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0825245D" wp14:editId="13F0C700">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7A63A5A" w14:textId="77777777" w:rsidR="00F13E9B" w:rsidRDefault="00013C4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F19871B" w14:textId="77777777" w:rsidR="00F13E9B" w:rsidRDefault="00F13E9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160ECC0" w14:textId="77777777" w:rsidR="00F13E9B" w:rsidRDefault="00013C4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PERMISO DE PROSPECCIÓN Y EXPLORACIÓN DE AGUAS SUBTERRÁNEAS</w:t>
          </w:r>
        </w:p>
      </w:tc>
      <w:tc>
        <w:tcPr>
          <w:tcW w:w="2252" w:type="dxa"/>
          <w:tcBorders>
            <w:bottom w:val="single" w:sz="4" w:space="0" w:color="000000"/>
          </w:tcBorders>
          <w:vAlign w:val="center"/>
        </w:tcPr>
        <w:p w14:paraId="0E6768B4" w14:textId="77777777" w:rsidR="00F13E9B" w:rsidRDefault="00013C4A">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M4-PR-14</w:t>
          </w:r>
        </w:p>
      </w:tc>
    </w:tr>
    <w:tr w:rsidR="00F13E9B" w14:paraId="2FD8606D" w14:textId="77777777">
      <w:trPr>
        <w:trHeight w:val="567"/>
      </w:trPr>
      <w:tc>
        <w:tcPr>
          <w:tcW w:w="1418" w:type="dxa"/>
          <w:vMerge/>
          <w:vAlign w:val="center"/>
        </w:tcPr>
        <w:p w14:paraId="1E65544D"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305FD109"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66E30F8C" w14:textId="77777777" w:rsidR="00F13E9B" w:rsidRDefault="00013C4A">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F13E9B" w14:paraId="57F57C9A" w14:textId="77777777">
      <w:trPr>
        <w:trHeight w:val="567"/>
      </w:trPr>
      <w:tc>
        <w:tcPr>
          <w:tcW w:w="1418" w:type="dxa"/>
          <w:vMerge/>
          <w:vAlign w:val="center"/>
        </w:tcPr>
        <w:p w14:paraId="1AF80506"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37E57F56" w14:textId="77777777" w:rsidR="00F13E9B" w:rsidRDefault="00F13E9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7A52DD02" w14:textId="77777777" w:rsidR="00F13E9B" w:rsidRDefault="00013C4A">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Vigente desde: 08/08/2023</w:t>
          </w:r>
        </w:p>
      </w:tc>
    </w:tr>
  </w:tbl>
  <w:p w14:paraId="7FBA08EB" w14:textId="77777777" w:rsidR="00F13E9B" w:rsidRDefault="00F13E9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C7365"/>
    <w:multiLevelType w:val="multilevel"/>
    <w:tmpl w:val="59C69454"/>
    <w:lvl w:ilvl="0">
      <w:start w:val="1"/>
      <w:numFmt w:val="decimal"/>
      <w:pStyle w:val="Titulo"/>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76BD6FAE"/>
    <w:multiLevelType w:val="multilevel"/>
    <w:tmpl w:val="841C9484"/>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 w15:restartNumberingAfterBreak="0">
    <w:nsid w:val="7E502543"/>
    <w:multiLevelType w:val="multilevel"/>
    <w:tmpl w:val="8CAAD30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8C19D1"/>
    <w:multiLevelType w:val="multilevel"/>
    <w:tmpl w:val="51F81C8C"/>
    <w:lvl w:ilvl="0">
      <w:start w:val="1"/>
      <w:numFmt w:val="bullet"/>
      <w:pStyle w:val="Ttulo2"/>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E9B"/>
    <w:rsid w:val="00013C4A"/>
    <w:rsid w:val="007800D0"/>
    <w:rsid w:val="00B945A9"/>
    <w:rsid w:val="00F13E9B"/>
    <w:rsid w:val="00FF3B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C485"/>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LljNrFxbDXuRTI4BfKShNY/lQ==">CgMxLjAyCWguM3JkY3JqbjIIaC5namRneHMyCWguMjZpbjFyZzIIaC5sbnhiejkyCWguMzVua3VuMjIJaC4xa3N2NHV2MgloLjQ0c2luaW8yCWguMWZvYjl0ZTIJaC4xeTgxMHR3MgloLjRkMzRvZzgyCWguMnhjeXRwaTIJaC4zem55c2g3OAByITFqckFwYVh4S0J1Q2JoTnAzWEwxZVdVcjgzQUVOdHVTNg==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1720</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4</cp:revision>
  <cp:lastPrinted>2023-12-19T12:57:00Z</cp:lastPrinted>
  <dcterms:created xsi:type="dcterms:W3CDTF">2023-11-15T18:27:00Z</dcterms:created>
  <dcterms:modified xsi:type="dcterms:W3CDTF">2023-12-19T12:57:00Z</dcterms:modified>
</cp:coreProperties>
</file>